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eastAsia="Arial"/>
          <w:color w:val="000000"/>
          <w:sz w:val="22"/>
        </w:rPr>
        <w:t>KERTAS KERJA</w:t>
      </w:r>
    </w:p>
    <w:p>
      <w:pPr>
        <w:pStyle w:val="KKCover"/>
        <w:spacing w:after="300" w:line="360" w:lineRule="auto"/>
      </w:pPr>
      <w:r>
        <w:rPr>
          <w:rFonts w:ascii="Arial" w:hAnsi="Arial" w:eastAsia="Arial"/>
          <w:color w:val="000000"/>
          <w:sz w:val="22"/>
        </w:rPr>
        <w:t>KEM LITERASI AL-QURAN TAHUN 6</w:t>
        <w:br/>
        <w:t>MISI KHATAM AL-QURAN 2027</w:t>
      </w:r>
    </w:p>
    <w:p>
      <w:pPr>
        <w:pStyle w:val="KKCover"/>
        <w:spacing w:after="1400" w:line="360" w:lineRule="auto"/>
      </w:pPr>
      <w:r>
        <w:rPr>
          <w:rFonts w:ascii="Arial" w:hAnsi="Arial" w:eastAsia="Arial"/>
          <w:color w:val="000000"/>
          <w:sz w:val="22"/>
        </w:rPr>
        <w:t>SEKOLAH KEBANGSAAN SERI HARMONI (SEKOLAH REKAAN)</w:t>
      </w:r>
    </w:p>
    <w:p>
      <w:pPr>
        <w:pStyle w:val="KKCoverField"/>
        <w:spacing w:line="360" w:lineRule="auto"/>
        <w:ind w:left="227"/>
      </w:pPr>
      <w:r>
        <w:rPr>
          <w:rFonts w:ascii="Arial" w:hAnsi="Arial" w:eastAsia="Arial"/>
          <w:color w:val="000000"/>
          <w:sz w:val="22"/>
        </w:rPr>
        <w:t>Tarikh kem intensif: 17 April 2027 (Sabtu) — tarikh contoh</w:t>
      </w:r>
    </w:p>
    <w:p>
      <w:pPr>
        <w:pStyle w:val="KKCoverField"/>
        <w:spacing w:line="360" w:lineRule="auto"/>
        <w:ind w:left="227"/>
      </w:pPr>
      <w:r>
        <w:rPr>
          <w:rFonts w:ascii="Arial" w:hAnsi="Arial" w:eastAsia="Arial"/>
          <w:color w:val="000000"/>
          <w:sz w:val="22"/>
        </w:rPr>
        <w:t>Tempoh susulan: 5 April hingga 26 Jun 2027 (12 minggu, cadangan)</w:t>
      </w:r>
    </w:p>
    <w:p>
      <w:pPr>
        <w:pStyle w:val="KKCoverField"/>
        <w:spacing w:line="360" w:lineRule="auto"/>
        <w:ind w:left="227"/>
      </w:pPr>
      <w:r>
        <w:rPr>
          <w:rFonts w:ascii="Arial" w:hAnsi="Arial" w:eastAsia="Arial"/>
          <w:color w:val="000000"/>
          <w:sz w:val="22"/>
        </w:rPr>
        <w:t>Tempat: Surau dan bilik Pendidikan Islam SK Seri Harmoni</w:t>
      </w:r>
    </w:p>
    <w:p>
      <w:pPr>
        <w:pStyle w:val="KKCoverField"/>
        <w:spacing w:line="360" w:lineRule="auto"/>
        <w:ind w:left="227"/>
      </w:pPr>
      <w:r>
        <w:rPr>
          <w:rFonts w:ascii="Arial" w:hAnsi="Arial" w:eastAsia="Arial"/>
          <w:color w:val="000000"/>
          <w:sz w:val="22"/>
        </w:rPr>
        <w:t>Penganjur: Panitia Pendidikan Islam SK Seri Harmoni</w:t>
      </w:r>
    </w:p>
    <w:p>
      <w:pPr>
        <w:pStyle w:val="KKCoverField"/>
        <w:spacing w:line="360" w:lineRule="auto"/>
        <w:ind w:left="227"/>
      </w:pPr>
      <w:r>
        <w:rPr>
          <w:rFonts w:ascii="Arial" w:hAnsi="Arial" w:eastAsia="Arial"/>
          <w:color w:val="000000"/>
          <w:sz w:val="22"/>
        </w:rPr>
        <w:t>Disediakan oleh: Penyelaras Kem Literasi al-Quran Tahun 6</w:t>
      </w:r>
    </w:p>
    <w:p>
      <w:pPr>
        <w:pStyle w:val="KKCoverField"/>
        <w:spacing w:line="360" w:lineRule="auto"/>
        <w:ind w:left="227"/>
      </w:pPr>
      <w:r>
        <w:rPr>
          <w:rFonts w:ascii="Arial" w:hAnsi="Arial" w:eastAsia="Arial"/>
          <w:color w:val="000000"/>
          <w:sz w:val="22"/>
        </w:rPr>
        <w:t>Dikemukakan kepada: Guru Besar SK Seri Harmoni</w:t>
      </w:r>
    </w:p>
    <w:p>
      <w:pPr>
        <w:pStyle w:val="KKCoverField"/>
        <w:spacing w:line="360" w:lineRule="auto"/>
        <w:ind w:left="227"/>
      </w:pPr>
      <w:r>
        <w:rPr>
          <w:rFonts w:ascii="Arial" w:hAnsi="Arial" w:eastAsia="Arial"/>
          <w:color w:val="000000"/>
          <w:sz w:val="22"/>
        </w:rPr>
        <w:t>Tarikh penyediaan: 10 Oktober 2026</w:t>
      </w:r>
    </w:p>
    <w:p>
      <w:pPr>
        <w:pStyle w:val="KKGuidance"/>
        <w:spacing w:before="900" w:line="360" w:lineRule="auto"/>
      </w:pPr>
      <w:r>
        <w:rPr>
          <w:rFonts w:ascii="Arial" w:hAnsi="Arial" w:eastAsia="Arial"/>
          <w:color w:val="000000"/>
          <w:sz w:val="22"/>
        </w:rPr>
        <w:t>DOKUMEN CONTOH — BUKAN PROGRAM YANG TELAH DILULUSKAN</w:t>
      </w:r>
    </w:p>
    <w:p>
      <w:pPr>
        <w:pStyle w:val="KKGuidance"/>
        <w:spacing w:line="360" w:lineRule="auto"/>
      </w:pPr>
      <w:r>
        <w:rPr>
          <w:rFonts w:ascii="Arial" w:hAnsi="Arial" w:eastAsia="Arial"/>
          <w:color w:val="000000"/>
          <w:sz w:val="22"/>
        </w:rPr>
        <w:t>Nama sekolah, tarikh, bilangan murid, tahap bacaan, petugas, bajet dan sumber pembiayaan dalam dokumen ini ialah contoh. Program hanya boleh dilaksanakan selepas saringan sebenar, penyelarasan jadual, kebenaran yang berkenaan dan kelulusan pentadbir. Khatam al-Quran disahkan melalui bacaan individu yang telah disempurnakan dan direkod, bukan sekadar kehadiran ke kem.</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eastAsia="Arial" w:cs="Arial"/>
          <w:b/>
          <w:i w:val="0"/>
          <w:color w:val="000000"/>
          <w:sz w:val="22"/>
        </w:rPr>
        <w:t>TUJUAN</w:t>
      </w:r>
    </w:p>
    <w:p>
      <w:pPr>
        <w:spacing w:line="360" w:lineRule="auto"/>
      </w:pPr>
      <w:r>
        <w:rPr>
          <w:rFonts w:ascii="Arial" w:hAnsi="Arial" w:eastAsia="Arial"/>
          <w:color w:val="000000"/>
          <w:sz w:val="22"/>
        </w:rPr>
        <w:t>Kertas kerja ini dikemukakan untuk mendapatkan pertimbangan dan kelulusan Guru Besar SK Seri Harmoni bagi melaksanakan Kem Literasi al-Quran Tahun 6: Misi Khatam al-Quran 2027. Program menggabungkan kem intensif sehari dengan bimbingan dan rekod tasmik selama 12 minggu bagi membantu murid Tahun 6 meningkatkan kelancaran bacaan dan mencapai khatam al-Quran secara berperingkat sebelum tamat persekolahan. Kos kem intensif dianggarkan RM3,000.00; sumber kewangan masih cadangan.</w:t>
      </w:r>
    </w:p>
    <w:p>
      <w:pPr>
        <w:pStyle w:val="Heading1"/>
        <w:keepNext/>
        <w:keepLines/>
        <w:numPr>
          <w:ilvl w:val="0"/>
          <w:numId w:val="10"/>
        </w:numPr>
        <w:spacing w:line="360" w:lineRule="auto"/>
      </w:pPr>
      <w:r>
        <w:rPr>
          <w:rFonts w:ascii="Arial" w:hAnsi="Arial" w:eastAsia="Arial" w:cs="Arial"/>
          <w:b/>
          <w:i w:val="0"/>
          <w:color w:val="000000"/>
          <w:sz w:val="22"/>
        </w:rPr>
        <w:t>PENGENALAN</w:t>
      </w:r>
    </w:p>
    <w:p>
      <w:pPr>
        <w:spacing w:line="360" w:lineRule="auto"/>
      </w:pPr>
      <w:r>
        <w:rPr>
          <w:rFonts w:ascii="Arial" w:hAnsi="Arial" w:eastAsia="Arial"/>
          <w:color w:val="000000"/>
          <w:sz w:val="22"/>
        </w:rPr>
        <w:t>Panitia Pendidikan Islam mengenal pasti keperluan bimbingan bacaan al-Quran secara berstruktur untuk murid Tahun 6 yang berada pada tahap penguasaan berbeza. Surat Pekeliling Ikhtisas KPM Bilangan 3 Tahun 2024 menyentuh Model Khatam al-Quran dan Model Tasmik dalam konteks sekolah rendah. Program ini ialah aktiviti sokongan yang tidak menggantikan pengajaran dan pembelajaran serta pelaksanaan rasmi model berkenaan. Saringan awal, halaqah mengikut kemampuan, pengesahan bacaan guru dan rekod susulan membantu memastikan status khatam dilaporkan secara tepat. Matlamat khatam individu tidak boleh disamakan dengan tadarus berjemaah atau majlis penutup.</w:t>
      </w:r>
    </w:p>
    <w:p>
      <w:pPr>
        <w:pStyle w:val="Heading1"/>
        <w:keepNext/>
        <w:keepLines/>
        <w:numPr>
          <w:ilvl w:val="0"/>
          <w:numId w:val="10"/>
        </w:numPr>
        <w:spacing w:line="360" w:lineRule="auto"/>
      </w:pPr>
      <w:r>
        <w:rPr>
          <w:rFonts w:ascii="Arial" w:hAnsi="Arial" w:eastAsia="Arial" w:cs="Arial"/>
          <w:b/>
          <w:i w:val="0"/>
          <w:color w:val="000000"/>
          <w:sz w:val="22"/>
        </w:rPr>
        <w:t>OBJEKTIF PROGRAM</w:t>
      </w:r>
    </w:p>
    <w:p>
      <w:pPr>
        <w:spacing w:line="360" w:lineRule="auto"/>
      </w:pPr>
      <w:r>
        <w:rPr>
          <w:rFonts w:ascii="Arial" w:hAnsi="Arial" w:eastAsia="Arial"/>
          <w:color w:val="000000"/>
          <w:sz w:val="22"/>
        </w:rPr>
        <w:t>Pada akhir program dan tempoh susulan, pihak sekolah menyasarkan agar:</w:t>
      </w:r>
    </w:p>
    <w:p>
      <w:pPr>
        <w:pStyle w:val="KKNumberedDetail"/>
        <w:numPr>
          <w:ilvl w:val="1"/>
          <w:numId w:val="10"/>
        </w:numPr>
        <w:spacing w:line="360" w:lineRule="auto"/>
      </w:pPr>
      <w:r>
        <w:rPr>
          <w:rFonts w:ascii="Arial" w:hAnsi="Arial" w:eastAsia="Arial"/>
          <w:color w:val="000000"/>
          <w:sz w:val="22"/>
        </w:rPr>
        <w:t>Semua 60 murid Islam Tahun 6 (angka contoh) menjalani saringan bacaan awal dan menerima pelan bacaan individu yang sesuai dengan tahap serta keperluan masing-masing.</w:t>
      </w:r>
    </w:p>
    <w:p>
      <w:pPr>
        <w:pStyle w:val="KKNumberedDetail"/>
        <w:numPr>
          <w:ilvl w:val="1"/>
          <w:numId w:val="10"/>
        </w:numPr>
        <w:spacing w:line="360" w:lineRule="auto"/>
      </w:pPr>
      <w:r>
        <w:rPr>
          <w:rFonts w:ascii="Arial" w:hAnsi="Arial" w:eastAsia="Arial"/>
          <w:color w:val="000000"/>
          <w:sz w:val="22"/>
        </w:rPr>
        <w:t>Murid menunjukkan peningkatan bacaan al-Quran dari segi kelancaran dan ketepatan asas melalui bimbingan halaqah, bacaan kendiri serta sesi tasmik berkala yang direkod oleh guru.</w:t>
      </w:r>
    </w:p>
    <w:p>
      <w:pPr>
        <w:pStyle w:val="KKNumberedDetail"/>
        <w:numPr>
          <w:ilvl w:val="1"/>
          <w:numId w:val="10"/>
        </w:numPr>
        <w:spacing w:line="360" w:lineRule="auto"/>
      </w:pPr>
      <w:r>
        <w:rPr>
          <w:rFonts w:ascii="Arial" w:hAnsi="Arial" w:eastAsia="Arial"/>
          <w:color w:val="000000"/>
          <w:sz w:val="22"/>
        </w:rPr>
        <w:t>Murid yang telah melengkapkan bacaan 30 juzuk secara individu disahkan status khatam berdasarkan rekod guru, manakala murid lain terus menerima intervensi tanpa dilabel gagal atau dipaksa mengejar sasaran tidak realistik.</w:t>
      </w:r>
    </w:p>
    <w:p>
      <w:pPr>
        <w:pStyle w:val="Heading1"/>
        <w:keepNext/>
        <w:keepLines/>
        <w:numPr>
          <w:ilvl w:val="0"/>
          <w:numId w:val="10"/>
        </w:numPr>
        <w:spacing w:line="360" w:lineRule="auto"/>
      </w:pPr>
      <w:r>
        <w:rPr>
          <w:rFonts w:ascii="Arial" w:hAnsi="Arial" w:eastAsia="Arial" w:cs="Arial"/>
          <w:b/>
          <w:i w:val="0"/>
          <w:color w:val="000000"/>
          <w:sz w:val="22"/>
        </w:rPr>
        <w:t>MATLAMAT PROGRAM</w:t>
      </w:r>
    </w:p>
    <w:p>
      <w:pPr>
        <w:keepLines/>
        <w:spacing w:line="360" w:lineRule="auto"/>
      </w:pPr>
      <w:r>
        <w:rPr>
          <w:rFonts w:ascii="Arial" w:hAnsi="Arial" w:eastAsia="Arial"/>
          <w:color w:val="000000"/>
          <w:sz w:val="22"/>
        </w:rPr>
        <w:t>Memupuk bacaan al-Quran secara istiqamah dan membimbing murid Tahun 6 mencapai khatam mengikut kemampuan. Sasaran khatam dimuktamadkan selepas saringan, sambil menghargai kemajuan semua murid.</w:t>
      </w:r>
    </w:p>
    <w:p>
      <w:pPr>
        <w:pStyle w:val="Heading1"/>
        <w:keepNext/>
        <w:keepLines/>
        <w:numPr>
          <w:ilvl w:val="0"/>
          <w:numId w:val="10"/>
        </w:numPr>
        <w:spacing w:line="360" w:lineRule="auto"/>
      </w:pPr>
      <w:r>
        <w:rPr>
          <w:rFonts w:ascii="Arial" w:hAnsi="Arial" w:eastAsia="Arial" w:cs="Arial"/>
          <w:b/>
          <w:i w:val="0"/>
          <w:color w:val="000000"/>
          <w:sz w:val="22"/>
        </w:rPr>
        <w:t>SASARAN DAN MAKLUMAT PESERTA</w:t>
      </w:r>
    </w:p>
    <w:p>
      <w:pPr>
        <w:spacing w:line="360" w:lineRule="auto"/>
      </w:pPr>
      <w:r>
        <w:rPr>
          <w:rFonts w:ascii="Arial" w:hAnsi="Arial" w:eastAsia="Arial"/>
          <w:color w:val="000000"/>
          <w:sz w:val="22"/>
        </w:rPr>
        <w:t>Sasaran contoh ialah 60 murid Islam Tahun 6 dengan 6 Guru Pendidikan Islam (GPI) sebagai pembimbing tasmik, 2 guru sokongan dan 2 staf urusetia; jumlah kehadiran kem 70 orang. Pengelompokan ilustrasi selepas saringan: A (lancar dan hampir khatam) 20 orang, B (boleh membaca tetapi memerlukan pengukuhan) 25 orang, C (intervensi Iqra’/bacaan asas) 15 orang. Angka A/B/C bukan dapatan pentaksiran sebenar. Enam halaqah dibentuk: dua kumpulan A (10+10), dua kumpulan B (12+13) dan dua kumpulan C (7+8), satu GPI bagi setiap halaqah; pengelompokan boleh diubah selepas penilaian sebenar.</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Kategori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Bilangan</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Catatan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Murid Islam Tahun 6</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60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Sasaran contoh, disaring sebelum kem</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Guru Pendidikan Islam (GPI)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6</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Satu pembimbing bagi setiap 6 halaqah</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Guru sokongan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2</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Disiplin, pergerakan dan kebajikan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Staf urusetia</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2</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Logistik dan makan minum</w:t>
            </w:r>
          </w:p>
        </w:tc>
      </w:tr>
      <w:tr>
        <w:trPr>
          <w:cantSplit/>
        </w:trPr>
        <w:tc>
          <w:tcPr>
            <w:tcW w:type="dxa" w:w="3685"/>
            <w:vAlign w:val="center"/>
          </w:tcPr>
          <w:p>
            <w:pPr>
              <w:spacing w:before="0" w:after="40" w:line="264" w:lineRule="auto"/>
              <w:jc w:val="left"/>
            </w:pPr>
            <w:r>
              <w:rPr>
                <w:rFonts w:ascii="Arial" w:hAnsi="Arial" w:eastAsia="Arial"/>
                <w:b/>
                <w:color w:val="000000"/>
                <w:sz w:val="22"/>
              </w:rPr>
              <w:t>JUMLAH KEHADIRAN</w:t>
            </w:r>
          </w:p>
        </w:tc>
        <w:tc>
          <w:tcPr>
            <w:tcW w:type="dxa" w:w="1757"/>
            <w:vAlign w:val="center"/>
          </w:tcPr>
          <w:p>
            <w:pPr>
              <w:spacing w:before="0" w:after="40" w:line="264" w:lineRule="auto"/>
              <w:jc w:val="left"/>
            </w:pPr>
            <w:r>
              <w:rPr>
                <w:rFonts w:ascii="Arial" w:hAnsi="Arial" w:eastAsia="Arial"/>
                <w:b/>
                <w:color w:val="000000"/>
                <w:sz w:val="22"/>
              </w:rPr>
              <w:t>70</w:t>
            </w:r>
          </w:p>
        </w:tc>
        <w:tc>
          <w:tcPr>
            <w:tcW w:type="dxa" w:w="3583"/>
            <w:vAlign w:val="center"/>
          </w:tcPr>
          <w:p>
            <w:pPr>
              <w:spacing w:before="0" w:after="40" w:line="264" w:lineRule="auto"/>
              <w:jc w:val="left"/>
            </w:pPr>
            <w:r>
              <w:rPr>
                <w:rFonts w:ascii="Arial" w:hAnsi="Arial" w:eastAsia="Arial"/>
                <w:b/>
                <w:color w:val="000000"/>
                <w:sz w:val="22"/>
              </w:rPr>
              <w:t>60 murid + 10 petugas</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eastAsia="Arial" w:cs="Arial"/>
          <w:b/>
          <w:i w:val="0"/>
          <w:color w:val="000000"/>
          <w:sz w:val="22"/>
        </w:rPr>
        <w:t>TEMPOH MASA</w:t>
      </w:r>
    </w:p>
    <w:p>
      <w:pPr>
        <w:pStyle w:val="KKCoverField"/>
        <w:spacing w:line="360" w:lineRule="auto"/>
      </w:pPr>
      <w:r>
        <w:rPr>
          <w:rFonts w:ascii="Arial" w:hAnsi="Arial" w:eastAsia="Arial"/>
          <w:color w:val="000000"/>
          <w:sz w:val="22"/>
        </w:rPr>
        <w:t>Fasa bimbingan cadangan: 5 April – 26 Jun 2027 (12 minggu)</w:t>
      </w:r>
    </w:p>
    <w:p>
      <w:pPr>
        <w:pStyle w:val="KKCoverField"/>
        <w:spacing w:line="360" w:lineRule="auto"/>
      </w:pPr>
      <w:r>
        <w:rPr>
          <w:rFonts w:ascii="Arial" w:hAnsi="Arial" w:eastAsia="Arial"/>
          <w:color w:val="000000"/>
          <w:sz w:val="22"/>
        </w:rPr>
        <w:t>Kem intensif: Sabtu, 17 April 2027 (tarikh contoh)</w:t>
      </w:r>
    </w:p>
    <w:p>
      <w:pPr>
        <w:pStyle w:val="KKCoverField"/>
        <w:spacing w:line="360" w:lineRule="auto"/>
      </w:pPr>
      <w:r>
        <w:rPr>
          <w:rFonts w:ascii="Arial" w:hAnsi="Arial" w:eastAsia="Arial"/>
          <w:color w:val="000000"/>
          <w:sz w:val="22"/>
        </w:rPr>
        <w:t>Masa kem: 8.00 pagi – 1.00 tengah hari; susulan: dua sesi bimbingan ringkas seminggu pada masa yang diluluskan sekolah, ditambah bacaan kendiri yang bersesuaian.</w:t>
      </w:r>
    </w:p>
    <w:p>
      <w:pPr>
        <w:pStyle w:val="KKCoverField"/>
        <w:spacing w:line="360" w:lineRule="auto"/>
      </w:pPr>
      <w:r>
        <w:rPr>
          <w:rFonts w:ascii="Arial" w:hAnsi="Arial" w:eastAsia="Arial"/>
          <w:color w:val="000000"/>
          <w:sz w:val="22"/>
        </w:rPr>
        <w:t>Masa persediaan petugas: 7.15 – 8.00 pagi; urusan tamat dan serahan murid: 1.00 – 1.30 tengah hari.</w:t>
      </w:r>
    </w:p>
    <w:p>
      <w:pPr>
        <w:pStyle w:val="Heading1"/>
        <w:keepNext/>
        <w:keepLines/>
        <w:numPr>
          <w:ilvl w:val="0"/>
          <w:numId w:val="10"/>
        </w:numPr>
        <w:spacing w:line="360" w:lineRule="auto"/>
      </w:pPr>
      <w:r>
        <w:rPr>
          <w:rFonts w:ascii="Arial" w:hAnsi="Arial" w:eastAsia="Arial" w:cs="Arial"/>
          <w:b/>
          <w:i w:val="0"/>
          <w:color w:val="000000"/>
          <w:sz w:val="22"/>
        </w:rPr>
        <w:t>TEMPAT</w:t>
      </w:r>
    </w:p>
    <w:p>
      <w:pPr>
        <w:spacing w:line="360" w:lineRule="auto"/>
      </w:pPr>
      <w:r>
        <w:rPr>
          <w:rFonts w:ascii="Arial" w:hAnsi="Arial" w:eastAsia="Arial"/>
          <w:color w:val="000000"/>
          <w:sz w:val="22"/>
        </w:rPr>
        <w:t>Kem berlangsung di surau dan bilik Pendidikan Islam SK Seri Harmoni, dengan ruang berasingan yang selesa untuk enam halaqah. Pastikan pengudaraan, tempat wuduk dan tandas selamat, laluan kecemasan jelas serta susun atur guru dapat memantau murid. Sesi susulan dijalankan dalam slot yang dipersetujui pentadbir tanpa menjejaskan pelaksanaan PdP rasmi. Sekiranya kemudahan tidak sesuai, tempat atau kaedah pelaksanaan diubah setelah mendapat kelulusan.</w:t>
      </w:r>
    </w:p>
    <w:p>
      <w:pPr>
        <w:pStyle w:val="Heading1"/>
        <w:keepNext/>
        <w:keepLines/>
        <w:numPr>
          <w:ilvl w:val="0"/>
          <w:numId w:val="10"/>
        </w:numPr>
        <w:spacing w:line="360" w:lineRule="auto"/>
      </w:pPr>
      <w:r>
        <w:rPr>
          <w:rFonts w:ascii="Arial" w:hAnsi="Arial" w:eastAsia="Arial" w:cs="Arial"/>
          <w:b/>
          <w:i w:val="0"/>
          <w:color w:val="000000"/>
          <w:sz w:val="22"/>
        </w:rPr>
        <w:t>ANJURAN</w:t>
      </w:r>
    </w:p>
    <w:p>
      <w:pPr>
        <w:pStyle w:val="KKCoverField"/>
        <w:keepNext/>
        <w:spacing w:line="360" w:lineRule="auto"/>
      </w:pPr>
      <w:r>
        <w:rPr>
          <w:rFonts w:ascii="Arial" w:hAnsi="Arial" w:eastAsia="Arial"/>
          <w:color w:val="000000"/>
          <w:sz w:val="22"/>
        </w:rPr>
        <w:t>Penganjur: Panitia Pendidikan Islam SK Seri Harmoni.</w:t>
      </w:r>
    </w:p>
    <w:p>
      <w:pPr>
        <w:pStyle w:val="KKCoverField"/>
        <w:keepLines/>
        <w:spacing w:line="360" w:lineRule="auto"/>
      </w:pPr>
      <w:r>
        <w:rPr>
          <w:rFonts w:ascii="Arial" w:hAnsi="Arial" w:eastAsia="Arial"/>
          <w:color w:val="000000"/>
          <w:sz w:val="22"/>
        </w:rPr>
        <w:t>Kerjasama cadangan: Penolong Kanan Pentadbiran, guru kelas Tahun 6, Unit Hal Ehwal Murid, Pusat Sumber Sekolah dan PIBG tertakluk persetujuan/kelulusan.</w:t>
      </w:r>
    </w:p>
    <w:p>
      <w:pPr>
        <w:pStyle w:val="Heading1"/>
        <w:keepNext/>
        <w:keepLines/>
        <w:numPr>
          <w:ilvl w:val="0"/>
          <w:numId w:val="10"/>
        </w:numPr>
        <w:spacing w:line="360" w:lineRule="auto"/>
      </w:pPr>
      <w:r>
        <w:rPr>
          <w:rFonts w:ascii="Arial" w:hAnsi="Arial" w:eastAsia="Arial" w:cs="Arial"/>
          <w:b/>
          <w:i w:val="0"/>
          <w:color w:val="000000"/>
          <w:sz w:val="22"/>
        </w:rPr>
        <w:t>TETAMU KEHORMAT, PERASMI ATAU PENCERAMAH</w:t>
      </w:r>
    </w:p>
    <w:p>
      <w:pPr>
        <w:spacing w:line="360" w:lineRule="auto"/>
      </w:pPr>
      <w:r>
        <w:rPr>
          <w:rFonts w:ascii="Arial" w:hAnsi="Arial" w:eastAsia="Arial"/>
          <w:color w:val="000000"/>
          <w:sz w:val="22"/>
        </w:rPr>
        <w:t>Perasmi atau penyampai amanat: Guru Besar SK Seri Harmoni (cadangan); fasilitator pengesahan bacaan ialah GPI yang dilantik. Penceramah luar tidak diwajibkan.</w:t>
      </w:r>
    </w:p>
    <w:p>
      <w:pPr>
        <w:spacing w:line="360" w:lineRule="auto"/>
      </w:pPr>
      <w:r>
        <w:rPr>
          <w:rFonts w:ascii="Arial" w:hAnsi="Arial" w:eastAsia="Arial"/>
          <w:color w:val="000000"/>
          <w:sz w:val="22"/>
        </w:rPr>
        <w:t>Jemputan dan pelantikan adalah cadangan sahaja sehingga disahkan oleh pihak sekolah.</w:t>
      </w:r>
    </w:p>
    <w:p>
      <w:pPr>
        <w:pStyle w:val="Heading1"/>
        <w:keepNext/>
        <w:keepLines/>
        <w:numPr>
          <w:ilvl w:val="0"/>
          <w:numId w:val="10"/>
        </w:numPr>
        <w:spacing w:line="360" w:lineRule="auto"/>
      </w:pPr>
      <w:r>
        <w:rPr>
          <w:rFonts w:ascii="Arial" w:hAnsi="Arial" w:eastAsia="Arial" w:cs="Arial"/>
          <w:b/>
          <w:i w:val="0"/>
          <w:color w:val="000000"/>
          <w:sz w:val="22"/>
        </w:rPr>
        <w:t>PELAKSANAAN DAN TENTATIF PROGRAM</w:t>
      </w:r>
    </w:p>
    <w:p>
      <w:pPr>
        <w:spacing w:line="360" w:lineRule="auto"/>
      </w:pPr>
      <w:r>
        <w:rPr>
          <w:rFonts w:ascii="Arial" w:hAnsi="Arial" w:eastAsia="Arial"/>
          <w:color w:val="000000"/>
          <w:sz w:val="22"/>
        </w:rPr>
        <w:t>Program tiga fasa: (1) Saringan awal dan penetapan sasaran individu pada minggu pertama; (2) Kem intensif satu hari pada 17 April yang menekankan adab membaca, semakan makhraj/tajwid asas, tasmik individu dan bimbingan halaqah mengikut tahap; (3) Susulan dua sesi tasmik/bimbingan ringkas setiap minggu dan bacaan kendiri berpandukan sasaran individu sepanjang baki 12 minggu. Guru mencatat surah/ayat/juzuk atau halaman yang disemak, tarikh, pembetulan dan sasaran seterusnya. Khatam hanya disahkan bagi bacaan individu 30 juzuk yang benar-benar disempurnakan serta disemak, termasuk bacaan yang telah dilakukan sebelum kem. Murid yang baru menguasai Iqra’ diberikan intervensi yang sesuai tanpa tekanan.</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Masa</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Aktiviti</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Petugas</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7.15–8.00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Persediaan ruang, bahan dan semakan keselamatan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Urusetia / GPI</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8.00–8.20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Pendaftaran dan semakan kumpulan mengikut saringan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Urusetia / guru sokongan</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8.20–8.40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Ucapan, doa dan motivasi adab membaca al-Quran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Ketua panitia / pengacara</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8.40–9.20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Bengkel bacaan dan pembetulan makhraj/tajwid asas</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6 GPI</w:t>
            </w:r>
          </w:p>
        </w:tc>
      </w:tr>
      <w:tr>
        <w:trPr>
          <w:cantSplit/>
        </w:trPr>
        <w:tc>
          <w:tcPr>
            <w:tcW w:type="dxa" w:w="1757"/>
            <w:vAlign w:val="center"/>
          </w:tcPr>
          <w:p>
            <w:pPr>
              <w:spacing w:before="0" w:after="40" w:line="264" w:lineRule="auto"/>
              <w:jc w:val="left"/>
            </w:pPr>
            <w:r>
              <w:rPr>
                <w:rFonts w:ascii="Arial" w:hAnsi="Arial" w:eastAsia="Arial"/>
                <w:b w:val="0"/>
                <w:color w:val="000000"/>
                <w:sz w:val="22"/>
              </w:rPr>
              <w:t>9.20–10.00 pagi</w:t>
            </w:r>
          </w:p>
        </w:tc>
        <w:tc>
          <w:tcPr>
            <w:tcW w:type="dxa" w:w="4535"/>
            <w:vAlign w:val="center"/>
          </w:tcPr>
          <w:p>
            <w:pPr>
              <w:spacing w:before="0" w:after="40" w:line="264" w:lineRule="auto"/>
              <w:jc w:val="left"/>
            </w:pPr>
            <w:r>
              <w:rPr>
                <w:rFonts w:ascii="Arial" w:hAnsi="Arial" w:eastAsia="Arial"/>
                <w:b w:val="0"/>
                <w:color w:val="000000"/>
                <w:sz w:val="22"/>
              </w:rPr>
              <w:t>Halaqah mengikut tahap dan semakan tasmik</w:t>
            </w:r>
          </w:p>
        </w:tc>
        <w:tc>
          <w:tcPr>
            <w:tcW w:type="dxa" w:w="2733"/>
            <w:vAlign w:val="center"/>
          </w:tcPr>
          <w:p>
            <w:pPr>
              <w:spacing w:before="0" w:after="40" w:line="264" w:lineRule="auto"/>
              <w:jc w:val="left"/>
            </w:pPr>
            <w:r>
              <w:rPr>
                <w:rFonts w:ascii="Arial" w:hAnsi="Arial" w:eastAsia="Arial"/>
                <w:b w:val="0"/>
                <w:color w:val="000000"/>
                <w:sz w:val="22"/>
              </w:rPr>
              <w:t>6 GPI</w:t>
            </w:r>
          </w:p>
        </w:tc>
      </w:tr>
      <w:tr>
        <w:trPr>
          <w:cantSplit/>
        </w:trPr>
        <w:tc>
          <w:tcPr>
            <w:tcW w:type="dxa" w:w="1757"/>
            <w:vAlign w:val="center"/>
          </w:tcPr>
          <w:p>
            <w:pPr>
              <w:spacing w:before="0" w:after="40" w:line="264" w:lineRule="auto"/>
              <w:jc w:val="left"/>
            </w:pPr>
            <w:r>
              <w:rPr>
                <w:rFonts w:ascii="Arial" w:hAnsi="Arial" w:eastAsia="Arial"/>
                <w:b w:val="0"/>
                <w:color w:val="000000"/>
                <w:sz w:val="22"/>
              </w:rPr>
              <w:t>10.00–10.20 pagi</w:t>
            </w:r>
          </w:p>
        </w:tc>
        <w:tc>
          <w:tcPr>
            <w:tcW w:type="dxa" w:w="4535"/>
            <w:vAlign w:val="center"/>
          </w:tcPr>
          <w:p>
            <w:pPr>
              <w:spacing w:before="0" w:after="40" w:line="264" w:lineRule="auto"/>
              <w:jc w:val="left"/>
            </w:pPr>
            <w:r>
              <w:rPr>
                <w:rFonts w:ascii="Arial" w:hAnsi="Arial" w:eastAsia="Arial"/>
                <w:b w:val="0"/>
                <w:color w:val="000000"/>
                <w:sz w:val="22"/>
              </w:rPr>
              <w:t>Rehat dan minum pagi</w:t>
            </w:r>
          </w:p>
        </w:tc>
        <w:tc>
          <w:tcPr>
            <w:tcW w:type="dxa" w:w="2733"/>
            <w:vAlign w:val="center"/>
          </w:tcPr>
          <w:p>
            <w:pPr>
              <w:spacing w:before="0" w:after="40" w:line="264" w:lineRule="auto"/>
              <w:jc w:val="left"/>
            </w:pPr>
            <w:r>
              <w:rPr>
                <w:rFonts w:ascii="Arial" w:hAnsi="Arial" w:eastAsia="Arial"/>
                <w:b w:val="0"/>
                <w:color w:val="000000"/>
                <w:sz w:val="22"/>
              </w:rPr>
              <w:t>AJK kebajikan</w:t>
            </w:r>
          </w:p>
        </w:tc>
      </w:tr>
      <w:tr>
        <w:trPr>
          <w:cantSplit/>
        </w:trPr>
        <w:tc>
          <w:tcPr>
            <w:tcW w:type="dxa" w:w="1757"/>
            <w:vAlign w:val="center"/>
          </w:tcPr>
          <w:p>
            <w:pPr>
              <w:spacing w:before="0" w:after="40" w:line="264" w:lineRule="auto"/>
              <w:jc w:val="left"/>
            </w:pPr>
            <w:r>
              <w:rPr>
                <w:rFonts w:ascii="Arial" w:hAnsi="Arial" w:eastAsia="Arial"/>
                <w:b w:val="0"/>
                <w:color w:val="000000"/>
                <w:sz w:val="22"/>
              </w:rPr>
              <w:t>10.20–11.20 pagi</w:t>
            </w:r>
          </w:p>
        </w:tc>
        <w:tc>
          <w:tcPr>
            <w:tcW w:type="dxa" w:w="4535"/>
            <w:vAlign w:val="center"/>
          </w:tcPr>
          <w:p>
            <w:pPr>
              <w:spacing w:before="0" w:after="40" w:line="264" w:lineRule="auto"/>
              <w:jc w:val="left"/>
            </w:pPr>
            <w:r>
              <w:rPr>
                <w:rFonts w:ascii="Arial" w:hAnsi="Arial" w:eastAsia="Arial"/>
                <w:b w:val="0"/>
                <w:color w:val="000000"/>
                <w:sz w:val="22"/>
              </w:rPr>
              <w:t>Bimbingan halaqah; tasmik individu mengikut giliran</w:t>
            </w:r>
          </w:p>
        </w:tc>
        <w:tc>
          <w:tcPr>
            <w:tcW w:type="dxa" w:w="2733"/>
            <w:vAlign w:val="center"/>
          </w:tcPr>
          <w:p>
            <w:pPr>
              <w:spacing w:before="0" w:after="40" w:line="264" w:lineRule="auto"/>
              <w:jc w:val="left"/>
            </w:pPr>
            <w:r>
              <w:rPr>
                <w:rFonts w:ascii="Arial" w:hAnsi="Arial" w:eastAsia="Arial"/>
                <w:b w:val="0"/>
                <w:color w:val="000000"/>
                <w:sz w:val="22"/>
              </w:rPr>
              <w:t>6 GPI / guru sokongan</w:t>
            </w:r>
          </w:p>
        </w:tc>
      </w:tr>
      <w:tr>
        <w:trPr>
          <w:cantSplit/>
        </w:trPr>
        <w:tc>
          <w:tcPr>
            <w:tcW w:type="dxa" w:w="1757"/>
            <w:vAlign w:val="center"/>
          </w:tcPr>
          <w:p>
            <w:pPr>
              <w:spacing w:before="0" w:after="40" w:line="264" w:lineRule="auto"/>
              <w:jc w:val="left"/>
            </w:pPr>
            <w:r>
              <w:rPr>
                <w:rFonts w:ascii="Arial" w:hAnsi="Arial" w:eastAsia="Arial"/>
                <w:b w:val="0"/>
                <w:color w:val="000000"/>
                <w:sz w:val="22"/>
              </w:rPr>
              <w:t>11.20–11.50 pagi</w:t>
            </w:r>
          </w:p>
        </w:tc>
        <w:tc>
          <w:tcPr>
            <w:tcW w:type="dxa" w:w="4535"/>
            <w:vAlign w:val="center"/>
          </w:tcPr>
          <w:p>
            <w:pPr>
              <w:spacing w:before="0" w:after="40" w:line="264" w:lineRule="auto"/>
              <w:jc w:val="left"/>
            </w:pPr>
            <w:r>
              <w:rPr>
                <w:rFonts w:ascii="Arial" w:hAnsi="Arial" w:eastAsia="Arial"/>
                <w:b w:val="0"/>
                <w:color w:val="000000"/>
                <w:sz w:val="22"/>
              </w:rPr>
              <w:t>Penetapan sasaran bacaan individu 12 minggu</w:t>
            </w:r>
          </w:p>
        </w:tc>
        <w:tc>
          <w:tcPr>
            <w:tcW w:type="dxa" w:w="2733"/>
            <w:vAlign w:val="center"/>
          </w:tcPr>
          <w:p>
            <w:pPr>
              <w:spacing w:before="0" w:after="40" w:line="264" w:lineRule="auto"/>
              <w:jc w:val="left"/>
            </w:pPr>
            <w:r>
              <w:rPr>
                <w:rFonts w:ascii="Arial" w:hAnsi="Arial" w:eastAsia="Arial"/>
                <w:b w:val="0"/>
                <w:color w:val="000000"/>
                <w:sz w:val="22"/>
              </w:rPr>
              <w:t>6 GPI</w:t>
            </w:r>
          </w:p>
        </w:tc>
      </w:tr>
      <w:tr>
        <w:trPr>
          <w:cantSplit/>
        </w:trPr>
        <w:tc>
          <w:tcPr>
            <w:tcW w:type="dxa" w:w="1757"/>
            <w:vAlign w:val="center"/>
          </w:tcPr>
          <w:p>
            <w:pPr>
              <w:spacing w:before="0" w:after="40" w:line="264" w:lineRule="auto"/>
              <w:jc w:val="left"/>
            </w:pPr>
            <w:r>
              <w:rPr>
                <w:rFonts w:ascii="Arial" w:hAnsi="Arial" w:eastAsia="Arial"/>
                <w:b w:val="0"/>
                <w:color w:val="000000"/>
                <w:sz w:val="22"/>
              </w:rPr>
              <w:t>11.50–12.20 tengah hari</w:t>
            </w:r>
          </w:p>
        </w:tc>
        <w:tc>
          <w:tcPr>
            <w:tcW w:type="dxa" w:w="4535"/>
            <w:vAlign w:val="center"/>
          </w:tcPr>
          <w:p>
            <w:pPr>
              <w:spacing w:before="0" w:after="40" w:line="264" w:lineRule="auto"/>
              <w:jc w:val="left"/>
            </w:pPr>
            <w:r>
              <w:rPr>
                <w:rFonts w:ascii="Arial" w:hAnsi="Arial" w:eastAsia="Arial"/>
                <w:b w:val="0"/>
                <w:color w:val="000000"/>
                <w:sz w:val="22"/>
              </w:rPr>
              <w:t>Latihan rekod kendiri dan panduan amalan di rumah</w:t>
            </w:r>
          </w:p>
        </w:tc>
        <w:tc>
          <w:tcPr>
            <w:tcW w:type="dxa" w:w="2733"/>
            <w:vAlign w:val="center"/>
          </w:tcPr>
          <w:p>
            <w:pPr>
              <w:spacing w:before="0" w:after="40" w:line="264" w:lineRule="auto"/>
              <w:jc w:val="left"/>
            </w:pPr>
            <w:r>
              <w:rPr>
                <w:rFonts w:ascii="Arial" w:hAnsi="Arial" w:eastAsia="Arial"/>
                <w:b w:val="0"/>
                <w:color w:val="000000"/>
                <w:sz w:val="22"/>
              </w:rPr>
              <w:t>GPI / urusetia</w:t>
            </w:r>
          </w:p>
        </w:tc>
      </w:tr>
      <w:tr>
        <w:trPr>
          <w:cantSplit/>
        </w:trPr>
        <w:tc>
          <w:tcPr>
            <w:tcW w:type="dxa" w:w="1757"/>
            <w:vAlign w:val="center"/>
          </w:tcPr>
          <w:p>
            <w:pPr>
              <w:spacing w:before="0" w:after="40" w:line="264" w:lineRule="auto"/>
              <w:jc w:val="left"/>
            </w:pPr>
            <w:r>
              <w:rPr>
                <w:rFonts w:ascii="Arial" w:hAnsi="Arial" w:eastAsia="Arial"/>
                <w:b w:val="0"/>
                <w:color w:val="000000"/>
                <w:sz w:val="22"/>
              </w:rPr>
              <w:t>12.20–12.45 tengah hari</w:t>
            </w:r>
          </w:p>
        </w:tc>
        <w:tc>
          <w:tcPr>
            <w:tcW w:type="dxa" w:w="4535"/>
            <w:vAlign w:val="center"/>
          </w:tcPr>
          <w:p>
            <w:pPr>
              <w:spacing w:before="0" w:after="40" w:line="264" w:lineRule="auto"/>
              <w:jc w:val="left"/>
            </w:pPr>
            <w:r>
              <w:rPr>
                <w:rFonts w:ascii="Arial" w:hAnsi="Arial" w:eastAsia="Arial"/>
                <w:b w:val="0"/>
                <w:color w:val="000000"/>
                <w:sz w:val="22"/>
              </w:rPr>
              <w:t>Refleksi, pengiktirafan penyertaan dan penutup</w:t>
            </w:r>
          </w:p>
        </w:tc>
        <w:tc>
          <w:tcPr>
            <w:tcW w:type="dxa" w:w="2733"/>
            <w:vAlign w:val="center"/>
          </w:tcPr>
          <w:p>
            <w:pPr>
              <w:spacing w:before="0" w:after="40" w:line="264" w:lineRule="auto"/>
              <w:jc w:val="left"/>
            </w:pPr>
            <w:r>
              <w:rPr>
                <w:rFonts w:ascii="Arial" w:hAnsi="Arial" w:eastAsia="Arial"/>
                <w:b w:val="0"/>
                <w:color w:val="000000"/>
                <w:sz w:val="22"/>
              </w:rPr>
              <w:t>AJK majlis</w:t>
            </w:r>
          </w:p>
        </w:tc>
      </w:tr>
      <w:tr>
        <w:trPr>
          <w:cantSplit/>
        </w:trPr>
        <w:tc>
          <w:tcPr>
            <w:tcW w:type="dxa" w:w="1757"/>
            <w:vAlign w:val="center"/>
          </w:tcPr>
          <w:p>
            <w:pPr>
              <w:spacing w:before="0" w:after="40" w:line="264" w:lineRule="auto"/>
              <w:jc w:val="left"/>
            </w:pPr>
            <w:r>
              <w:rPr>
                <w:rFonts w:ascii="Arial" w:hAnsi="Arial" w:eastAsia="Arial"/>
                <w:b w:val="0"/>
                <w:color w:val="000000"/>
                <w:sz w:val="22"/>
              </w:rPr>
              <w:t>12.45–1.00 tengah hari</w:t>
            </w:r>
          </w:p>
        </w:tc>
        <w:tc>
          <w:tcPr>
            <w:tcW w:type="dxa" w:w="4535"/>
            <w:vAlign w:val="center"/>
          </w:tcPr>
          <w:p>
            <w:pPr>
              <w:spacing w:before="0" w:after="40" w:line="264" w:lineRule="auto"/>
              <w:jc w:val="left"/>
            </w:pPr>
            <w:r>
              <w:rPr>
                <w:rFonts w:ascii="Arial" w:hAnsi="Arial" w:eastAsia="Arial"/>
                <w:b w:val="0"/>
                <w:color w:val="000000"/>
                <w:sz w:val="22"/>
              </w:rPr>
              <w:t>Makan tengah hari dan pulang mengikut prosedur</w:t>
            </w:r>
          </w:p>
        </w:tc>
        <w:tc>
          <w:tcPr>
            <w:tcW w:type="dxa" w:w="2733"/>
            <w:vAlign w:val="center"/>
          </w:tcPr>
          <w:p>
            <w:pPr>
              <w:spacing w:before="0" w:after="40" w:line="264" w:lineRule="auto"/>
              <w:jc w:val="left"/>
            </w:pPr>
            <w:r>
              <w:rPr>
                <w:rFonts w:ascii="Arial" w:hAnsi="Arial" w:eastAsia="Arial"/>
                <w:b w:val="0"/>
                <w:color w:val="000000"/>
                <w:sz w:val="22"/>
              </w:rPr>
              <w:t>AJK kebajikan / disiplin</w:t>
            </w:r>
          </w:p>
        </w:tc>
      </w:tr>
      <w:tr>
        <w:trPr>
          <w:cantSplit/>
        </w:trPr>
        <w:tc>
          <w:tcPr>
            <w:tcW w:type="dxa" w:w="1757"/>
            <w:vAlign w:val="center"/>
          </w:tcPr>
          <w:p>
            <w:pPr>
              <w:spacing w:before="0" w:after="40" w:line="264" w:lineRule="auto"/>
              <w:jc w:val="left"/>
            </w:pPr>
            <w:r>
              <w:rPr>
                <w:rFonts w:ascii="Arial" w:hAnsi="Arial" w:eastAsia="Arial"/>
                <w:b w:val="0"/>
                <w:color w:val="000000"/>
                <w:sz w:val="22"/>
              </w:rPr>
              <w:t>1.00–1.30 tengah hari</w:t>
            </w:r>
          </w:p>
        </w:tc>
        <w:tc>
          <w:tcPr>
            <w:tcW w:type="dxa" w:w="4535"/>
            <w:vAlign w:val="center"/>
          </w:tcPr>
          <w:p>
            <w:pPr>
              <w:spacing w:before="0" w:after="40" w:line="264" w:lineRule="auto"/>
              <w:jc w:val="left"/>
            </w:pPr>
            <w:r>
              <w:rPr>
                <w:rFonts w:ascii="Arial" w:hAnsi="Arial" w:eastAsia="Arial"/>
                <w:b w:val="0"/>
                <w:color w:val="000000"/>
                <w:sz w:val="22"/>
              </w:rPr>
              <w:t>Kemas ruang dan semakan rekod kehadiran</w:t>
            </w:r>
          </w:p>
        </w:tc>
        <w:tc>
          <w:tcPr>
            <w:tcW w:type="dxa" w:w="2733"/>
            <w:vAlign w:val="center"/>
          </w:tcPr>
          <w:p>
            <w:pPr>
              <w:spacing w:before="0" w:after="40" w:line="264" w:lineRule="auto"/>
              <w:jc w:val="left"/>
            </w:pPr>
            <w:r>
              <w:rPr>
                <w:rFonts w:ascii="Arial" w:hAnsi="Arial" w:eastAsia="Arial"/>
                <w:b w:val="0"/>
                <w:color w:val="000000"/>
                <w:sz w:val="22"/>
              </w:rPr>
              <w:t>Semua petugas</w:t>
            </w:r>
          </w:p>
        </w:tc>
      </w:tr>
    </w:tbl>
    <w:p>
      <w:pPr>
        <w:spacing w:after="20" w:before="0" w:line="360" w:lineRule="auto"/>
      </w:pPr>
      <w:r>
        <w:rPr>
          <w:rFonts w:ascii="Arial" w:hAnsi="Arial" w:eastAsia="Arial"/>
          <w:color w:val="000000"/>
          <w:sz w:val="22"/>
        </w:rPr>
        <w:t>Penilaian dan perlindungan murid: Pentaksiran awal dijalankan secara berhemah, tidak mempamerkan status bacaan murid secara terbuka; elakkan membanding, memalukan atau menjanjikan khatam untuk semua dalam satu hari. Rekod bacaan disimpan secara sulit dan dikongsi hanya dengan pihak berkaitan. Pastikan pengawasan, air minuman, kesihatan murid, laluan keluar dan kebenaran/pengetahuan ibu bapa bagi aktiviti luar waktu persekolahan. Murid yang telah khatam sebelum program dicatat berasingan daripada murid yang khatam sepanjang pelaksanaan.</w:t>
      </w:r>
    </w:p>
    <w:p>
      <w:pPr>
        <w:pStyle w:val="Heading1"/>
        <w:keepNext/>
        <w:keepLines/>
        <w:numPr>
          <w:ilvl w:val="0"/>
          <w:numId w:val="10"/>
        </w:numPr>
        <w:spacing w:line="360" w:lineRule="auto"/>
      </w:pPr>
      <w:r>
        <w:rPr>
          <w:rFonts w:ascii="Arial" w:hAnsi="Arial" w:eastAsia="Arial" w:cs="Arial"/>
          <w:b/>
          <w:i w:val="0"/>
          <w:color w:val="000000"/>
          <w:sz w:val="22"/>
        </w:rPr>
        <w:t>JAWATANKUASA INDUK</w:t>
      </w:r>
    </w:p>
    <w:p>
      <w:pPr>
        <w:pStyle w:val="KKCoverField"/>
        <w:keepNext/>
        <w:spacing w:line="360" w:lineRule="auto"/>
      </w:pPr>
      <w:r>
        <w:rPr>
          <w:rFonts w:ascii="Arial" w:hAnsi="Arial" w:eastAsia="Arial"/>
          <w:color w:val="000000"/>
          <w:sz w:val="22"/>
        </w:rPr>
        <w:t>Penasihat: Guru Besar SK Seri Harmoni</w:t>
      </w:r>
    </w:p>
    <w:p>
      <w:pPr>
        <w:pStyle w:val="KKCoverField"/>
        <w:keepNext/>
        <w:spacing w:line="360" w:lineRule="auto"/>
      </w:pPr>
      <w:r>
        <w:rPr>
          <w:rFonts w:ascii="Arial" w:hAnsi="Arial" w:eastAsia="Arial"/>
          <w:color w:val="000000"/>
          <w:sz w:val="22"/>
        </w:rPr>
        <w:t>Pengerusi: Penolong Kanan Pentadbiran</w:t>
      </w:r>
    </w:p>
    <w:p>
      <w:pPr>
        <w:pStyle w:val="KKCoverField"/>
        <w:keepNext/>
        <w:spacing w:line="360" w:lineRule="auto"/>
      </w:pPr>
      <w:r>
        <w:rPr>
          <w:rFonts w:ascii="Arial" w:hAnsi="Arial" w:eastAsia="Arial"/>
          <w:color w:val="000000"/>
          <w:sz w:val="22"/>
        </w:rPr>
        <w:t>Timbalan Pengerusi: Penolong Kanan Hal Ehwal Murid</w:t>
      </w:r>
    </w:p>
    <w:p>
      <w:pPr>
        <w:pStyle w:val="KKCoverField"/>
        <w:keepNext/>
        <w:spacing w:line="360" w:lineRule="auto"/>
      </w:pPr>
      <w:r>
        <w:rPr>
          <w:rFonts w:ascii="Arial" w:hAnsi="Arial" w:eastAsia="Arial"/>
          <w:color w:val="000000"/>
          <w:sz w:val="22"/>
        </w:rPr>
        <w:t>Naib Pengerusi: Penolong Kanan Kokurikulum</w:t>
      </w:r>
    </w:p>
    <w:p>
      <w:pPr>
        <w:pStyle w:val="KKCoverField"/>
        <w:keepNext/>
        <w:spacing w:line="360" w:lineRule="auto"/>
      </w:pPr>
      <w:r>
        <w:rPr>
          <w:rFonts w:ascii="Arial" w:hAnsi="Arial" w:eastAsia="Arial"/>
          <w:color w:val="000000"/>
          <w:sz w:val="22"/>
        </w:rPr>
        <w:t>Setiausaha: Ketua Panitia Pendidikan Islam</w:t>
      </w:r>
    </w:p>
    <w:p>
      <w:pPr>
        <w:pStyle w:val="KKCoverField"/>
        <w:keepNext/>
        <w:spacing w:line="360" w:lineRule="auto"/>
      </w:pPr>
      <w:r>
        <w:rPr>
          <w:rFonts w:ascii="Arial" w:hAnsi="Arial" w:eastAsia="Arial"/>
          <w:color w:val="000000"/>
          <w:sz w:val="22"/>
        </w:rPr>
        <w:t>Penolong Setiausaha: Guru Pendidikan Islam Tahun 6 (akan dilantik)</w:t>
      </w:r>
    </w:p>
    <w:p>
      <w:pPr>
        <w:pStyle w:val="KKCoverField"/>
        <w:spacing w:line="360" w:lineRule="auto"/>
      </w:pPr>
      <w:r>
        <w:rPr>
          <w:rFonts w:ascii="Arial" w:hAnsi="Arial" w:eastAsia="Arial"/>
          <w:color w:val="000000"/>
          <w:sz w:val="22"/>
        </w:rPr>
        <w:t>Bendahari: Bendahari Program (akan dilantik)</w:t>
      </w:r>
    </w:p>
    <w:p>
      <w:pPr>
        <w:pStyle w:val="Heading1"/>
        <w:keepNext/>
        <w:keepLines/>
        <w:pageBreakBefore/>
        <w:numPr>
          <w:ilvl w:val="0"/>
          <w:numId w:val="10"/>
        </w:numPr>
        <w:spacing w:line="360" w:lineRule="auto"/>
      </w:pPr>
      <w:r>
        <w:rPr>
          <w:rFonts w:ascii="Arial" w:hAnsi="Arial" w:eastAsia="Arial" w:cs="Arial"/>
          <w:b/>
          <w:i w:val="0"/>
          <w:color w:val="000000"/>
          <w:sz w:val="22"/>
        </w:rPr>
        <w:t>JAWATANKUASA PELAKSANA</w:t>
      </w:r>
    </w:p>
    <w:p>
      <w:pPr>
        <w:spacing w:line="360" w:lineRule="auto"/>
      </w:pPr>
      <w:r>
        <w:rPr>
          <w:rFonts w:ascii="Arial" w:hAnsi="Arial" w:eastAsia="Arial"/>
          <w:color w:val="000000"/>
          <w:sz w:val="22"/>
        </w:rPr>
        <w:t>Enam GPI dilantik sebagai pembimbing enam halaqah dan penyemak rekod tasmik. Dua guru sokongan membantu pergerakan murid, bahan bacaan dan kebajikan, manakala dua staf menyelaras makan minum, peralatan dan dokumentasi. Jawatankuasa menyediakan jadual giliran guru, mekanisme penggantian jika GPI tidak hadir, penyimpanan rekod serta pelaporan status khatam. Pelantikan sebenar tertakluk kepada kapasiti guru dan kelulusan pihak sekolah.</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Unit / AJK</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Penyelaras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Tanggungjawab</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Penasihat / keputusan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Guru Besar</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Kelulusan, dasar dan keselamatan</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Penyelaras kem</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Ketua Panitia Pendidikan Islam</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Jadual, kumpulan, modul, laporan</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Saringan dan data bacaan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GPI Tahun 6</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Ujian awal dan penetapan sasaran individu</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Halaqah A1–A2</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2 GPI dilantik</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Pengayaan dan bacaan hampir khatam</w:t>
            </w:r>
          </w:p>
        </w:tc>
      </w:tr>
      <w:tr>
        <w:trPr>
          <w:cantSplit/>
        </w:trPr>
        <w:tc>
          <w:tcPr>
            <w:tcW w:type="dxa" w:w="2636"/>
            <w:vAlign w:val="center"/>
          </w:tcPr>
          <w:p>
            <w:pPr>
              <w:spacing w:before="0" w:after="40" w:line="264" w:lineRule="auto"/>
              <w:jc w:val="left"/>
            </w:pPr>
            <w:r>
              <w:rPr>
                <w:rFonts w:ascii="Arial" w:hAnsi="Arial" w:eastAsia="Arial"/>
                <w:b w:val="0"/>
                <w:color w:val="000000"/>
                <w:sz w:val="22"/>
              </w:rPr>
              <w:t>Halaqah B1–B2</w:t>
            </w:r>
          </w:p>
        </w:tc>
        <w:tc>
          <w:tcPr>
            <w:tcW w:type="dxa" w:w="2636"/>
            <w:vAlign w:val="center"/>
          </w:tcPr>
          <w:p>
            <w:pPr>
              <w:spacing w:before="0" w:after="40" w:line="264" w:lineRule="auto"/>
              <w:jc w:val="left"/>
            </w:pPr>
            <w:r>
              <w:rPr>
                <w:rFonts w:ascii="Arial" w:hAnsi="Arial" w:eastAsia="Arial"/>
                <w:b w:val="0"/>
                <w:color w:val="000000"/>
                <w:sz w:val="22"/>
              </w:rPr>
              <w:t>2 GPI dilantik</w:t>
            </w:r>
          </w:p>
        </w:tc>
        <w:tc>
          <w:tcPr>
            <w:tcW w:type="dxa" w:w="3753"/>
            <w:vAlign w:val="center"/>
          </w:tcPr>
          <w:p>
            <w:pPr>
              <w:spacing w:before="0" w:after="40" w:line="264" w:lineRule="auto"/>
              <w:jc w:val="left"/>
            </w:pPr>
            <w:r>
              <w:rPr>
                <w:rFonts w:ascii="Arial" w:hAnsi="Arial" w:eastAsia="Arial"/>
                <w:b w:val="0"/>
                <w:color w:val="000000"/>
                <w:sz w:val="22"/>
              </w:rPr>
              <w:t>Kelancaran, makhraj dan bacaan berperingkat</w:t>
            </w:r>
          </w:p>
        </w:tc>
      </w:tr>
      <w:tr>
        <w:trPr>
          <w:cantSplit/>
        </w:trPr>
        <w:tc>
          <w:tcPr>
            <w:tcW w:type="dxa" w:w="2636"/>
            <w:vAlign w:val="center"/>
          </w:tcPr>
          <w:p>
            <w:pPr>
              <w:spacing w:before="0" w:after="40" w:line="264" w:lineRule="auto"/>
              <w:jc w:val="left"/>
            </w:pPr>
            <w:r>
              <w:rPr>
                <w:rFonts w:ascii="Arial" w:hAnsi="Arial" w:eastAsia="Arial"/>
                <w:b w:val="0"/>
                <w:color w:val="000000"/>
                <w:sz w:val="22"/>
              </w:rPr>
              <w:t>Halaqah C1–C2</w:t>
            </w:r>
          </w:p>
        </w:tc>
        <w:tc>
          <w:tcPr>
            <w:tcW w:type="dxa" w:w="2636"/>
            <w:vAlign w:val="center"/>
          </w:tcPr>
          <w:p>
            <w:pPr>
              <w:spacing w:before="0" w:after="40" w:line="264" w:lineRule="auto"/>
              <w:jc w:val="left"/>
            </w:pPr>
            <w:r>
              <w:rPr>
                <w:rFonts w:ascii="Arial" w:hAnsi="Arial" w:eastAsia="Arial"/>
                <w:b w:val="0"/>
                <w:color w:val="000000"/>
                <w:sz w:val="22"/>
              </w:rPr>
              <w:t>2 GPI dilantik</w:t>
            </w:r>
          </w:p>
        </w:tc>
        <w:tc>
          <w:tcPr>
            <w:tcW w:type="dxa" w:w="3753"/>
            <w:vAlign w:val="center"/>
          </w:tcPr>
          <w:p>
            <w:pPr>
              <w:spacing w:before="0" w:after="40" w:line="264" w:lineRule="auto"/>
              <w:jc w:val="left"/>
            </w:pPr>
            <w:r>
              <w:rPr>
                <w:rFonts w:ascii="Arial" w:hAnsi="Arial" w:eastAsia="Arial"/>
                <w:b w:val="0"/>
                <w:color w:val="000000"/>
                <w:sz w:val="22"/>
              </w:rPr>
              <w:t>Intervensi Iqra’ / pengukuhan asas</w:t>
            </w:r>
          </w:p>
        </w:tc>
      </w:tr>
      <w:tr>
        <w:trPr>
          <w:cantSplit/>
        </w:trPr>
        <w:tc>
          <w:tcPr>
            <w:tcW w:type="dxa" w:w="2636"/>
            <w:vAlign w:val="center"/>
          </w:tcPr>
          <w:p>
            <w:pPr>
              <w:spacing w:before="0" w:after="40" w:line="264" w:lineRule="auto"/>
              <w:jc w:val="left"/>
            </w:pPr>
            <w:r>
              <w:rPr>
                <w:rFonts w:ascii="Arial" w:hAnsi="Arial" w:eastAsia="Arial"/>
                <w:b w:val="0"/>
                <w:color w:val="000000"/>
                <w:sz w:val="22"/>
              </w:rPr>
              <w:t>Urusetia / kehadiran</w:t>
            </w:r>
          </w:p>
        </w:tc>
        <w:tc>
          <w:tcPr>
            <w:tcW w:type="dxa" w:w="2636"/>
            <w:vAlign w:val="center"/>
          </w:tcPr>
          <w:p>
            <w:pPr>
              <w:spacing w:before="0" w:after="40" w:line="264" w:lineRule="auto"/>
              <w:jc w:val="left"/>
            </w:pPr>
            <w:r>
              <w:rPr>
                <w:rFonts w:ascii="Arial" w:hAnsi="Arial" w:eastAsia="Arial"/>
                <w:b w:val="0"/>
                <w:color w:val="000000"/>
                <w:sz w:val="22"/>
              </w:rPr>
              <w:t>2 staf / guru sokongan</w:t>
            </w:r>
          </w:p>
        </w:tc>
        <w:tc>
          <w:tcPr>
            <w:tcW w:type="dxa" w:w="3753"/>
            <w:vAlign w:val="center"/>
          </w:tcPr>
          <w:p>
            <w:pPr>
              <w:spacing w:before="0" w:after="40" w:line="264" w:lineRule="auto"/>
              <w:jc w:val="left"/>
            </w:pPr>
            <w:r>
              <w:rPr>
                <w:rFonts w:ascii="Arial" w:hAnsi="Arial" w:eastAsia="Arial"/>
                <w:b w:val="0"/>
                <w:color w:val="000000"/>
                <w:sz w:val="22"/>
              </w:rPr>
              <w:t>Pendaftaran dan kebajikan</w:t>
            </w:r>
          </w:p>
        </w:tc>
      </w:tr>
      <w:tr>
        <w:trPr>
          <w:cantSplit/>
        </w:trPr>
        <w:tc>
          <w:tcPr>
            <w:tcW w:type="dxa" w:w="2636"/>
            <w:vAlign w:val="center"/>
          </w:tcPr>
          <w:p>
            <w:pPr>
              <w:spacing w:before="0" w:after="40" w:line="264" w:lineRule="auto"/>
              <w:jc w:val="left"/>
            </w:pPr>
            <w:r>
              <w:rPr>
                <w:rFonts w:ascii="Arial" w:hAnsi="Arial" w:eastAsia="Arial"/>
                <w:b w:val="0"/>
                <w:color w:val="000000"/>
                <w:sz w:val="22"/>
              </w:rPr>
              <w:t>Kewangan / makanan</w:t>
            </w:r>
          </w:p>
        </w:tc>
        <w:tc>
          <w:tcPr>
            <w:tcW w:type="dxa" w:w="2636"/>
            <w:vAlign w:val="center"/>
          </w:tcPr>
          <w:p>
            <w:pPr>
              <w:spacing w:before="0" w:after="40" w:line="264" w:lineRule="auto"/>
              <w:jc w:val="left"/>
            </w:pPr>
            <w:r>
              <w:rPr>
                <w:rFonts w:ascii="Arial" w:hAnsi="Arial" w:eastAsia="Arial"/>
                <w:b w:val="0"/>
                <w:color w:val="000000"/>
                <w:sz w:val="22"/>
              </w:rPr>
              <w:t>Bendahari / AJK kebajikan</w:t>
            </w:r>
          </w:p>
        </w:tc>
        <w:tc>
          <w:tcPr>
            <w:tcW w:type="dxa" w:w="3753"/>
            <w:vAlign w:val="center"/>
          </w:tcPr>
          <w:p>
            <w:pPr>
              <w:spacing w:before="0" w:after="40" w:line="264" w:lineRule="auto"/>
              <w:jc w:val="left"/>
            </w:pPr>
            <w:r>
              <w:rPr>
                <w:rFonts w:ascii="Arial" w:hAnsi="Arial" w:eastAsia="Arial"/>
                <w:b w:val="0"/>
                <w:color w:val="000000"/>
                <w:sz w:val="22"/>
              </w:rPr>
              <w:t>Resit, pembelian dan bekalan makanan</w:t>
            </w:r>
          </w:p>
        </w:tc>
      </w:tr>
      <w:tr>
        <w:trPr>
          <w:cantSplit/>
        </w:trPr>
        <w:tc>
          <w:tcPr>
            <w:tcW w:type="dxa" w:w="2636"/>
            <w:vAlign w:val="center"/>
          </w:tcPr>
          <w:p>
            <w:pPr>
              <w:spacing w:before="0" w:after="40" w:line="264" w:lineRule="auto"/>
              <w:jc w:val="left"/>
            </w:pPr>
            <w:r>
              <w:rPr>
                <w:rFonts w:ascii="Arial" w:hAnsi="Arial" w:eastAsia="Arial"/>
                <w:b w:val="0"/>
                <w:color w:val="000000"/>
                <w:sz w:val="22"/>
              </w:rPr>
              <w:t>Pemantauan / pelaporan</w:t>
            </w:r>
          </w:p>
        </w:tc>
        <w:tc>
          <w:tcPr>
            <w:tcW w:type="dxa" w:w="2636"/>
            <w:vAlign w:val="center"/>
          </w:tcPr>
          <w:p>
            <w:pPr>
              <w:spacing w:before="0" w:after="40" w:line="264" w:lineRule="auto"/>
              <w:jc w:val="left"/>
            </w:pPr>
            <w:r>
              <w:rPr>
                <w:rFonts w:ascii="Arial" w:hAnsi="Arial" w:eastAsia="Arial"/>
                <w:b w:val="0"/>
                <w:color w:val="000000"/>
                <w:sz w:val="22"/>
              </w:rPr>
              <w:t>Ketua panitia / GPI</w:t>
            </w:r>
          </w:p>
        </w:tc>
        <w:tc>
          <w:tcPr>
            <w:tcW w:type="dxa" w:w="3753"/>
            <w:vAlign w:val="center"/>
          </w:tcPr>
          <w:p>
            <w:pPr>
              <w:spacing w:before="0" w:after="40" w:line="264" w:lineRule="auto"/>
              <w:jc w:val="left"/>
            </w:pPr>
            <w:r>
              <w:rPr>
                <w:rFonts w:ascii="Arial" w:hAnsi="Arial" w:eastAsia="Arial"/>
                <w:b w:val="0"/>
                <w:color w:val="000000"/>
                <w:sz w:val="22"/>
              </w:rPr>
              <w:t>Rekod tasmik, kemajuan dan status khatam</w:t>
            </w:r>
          </w:p>
        </w:tc>
      </w:tr>
    </w:tbl>
    <w:p>
      <w:pPr>
        <w:spacing w:after="20" w:before="0" w:line="360" w:lineRule="auto"/>
      </w:pPr>
      <w:r>
        <w:rPr>
          <w:rFonts w:ascii="Arial" w:hAnsi="Arial" w:eastAsia="Arial" w:cs="Arial"/>
          <w:b w:val="0"/>
          <w:i w:val="0"/>
          <w:color w:val="000000"/>
          <w:sz w:val="22"/>
        </w:rPr>
      </w:r>
    </w:p>
    <w:p>
      <w:pPr>
        <w:pStyle w:val="Heading1"/>
        <w:keepNext/>
        <w:keepLines/>
        <w:pageBreakBefore w:val="0"/>
        <w:numPr>
          <w:ilvl w:val="0"/>
          <w:numId w:val="10"/>
        </w:numPr>
        <w:spacing w:line="360" w:lineRule="auto"/>
      </w:pPr>
      <w:r>
        <w:rPr>
          <w:rFonts w:ascii="Arial" w:hAnsi="Arial" w:eastAsia="Arial" w:cs="Arial"/>
          <w:b/>
          <w:i w:val="0"/>
          <w:color w:val="000000"/>
          <w:sz w:val="22"/>
        </w:rPr>
        <w:t>IMPLIKASI KEWANGAN</w:t>
      </w:r>
    </w:p>
    <w:p>
      <w:pPr>
        <w:spacing w:line="360" w:lineRule="auto"/>
      </w:pPr>
      <w:r>
        <w:rPr>
          <w:rFonts w:ascii="Arial" w:hAnsi="Arial" w:eastAsia="Arial"/>
          <w:color w:val="000000"/>
          <w:sz w:val="22"/>
        </w:rPr>
        <w:t>Kos contoh RM3,000.00 bagi kem intensif sehari melibatkan 70 orang. Susulan 12 minggu menggunakan kemudahan dan waktu sedia ada tertakluk kelulusan; kos tambahan perlu dimasukkan jika berkenaan. Semua dana yang disenaraikan masih cadangan dan belum diterima atau diluluskan.</w:t>
      </w:r>
    </w:p>
    <w:p>
      <w:pPr>
        <w:pStyle w:val="Heading2"/>
        <w:keepNext/>
        <w:keepLines/>
        <w:numPr>
          <w:ilvl w:val="1"/>
          <w:numId w:val="10"/>
        </w:numPr>
        <w:spacing w:line="360" w:lineRule="auto"/>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Sumber kewangan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Amaun (RM)</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Status</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Cadangan peruntukan sekolah yang dibenarkan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1,500.00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Belum diluluskan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Cadangan sumbangan PIBG</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1,000.00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Belum disahkan / diterima</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Cadangan sumbangan komuniti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500.00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Belum disahkan / diterima</w:t>
            </w:r>
          </w:p>
        </w:tc>
      </w:tr>
      <w:tr>
        <w:trPr>
          <w:cantSplit/>
        </w:trPr>
        <w:tc>
          <w:tcPr>
            <w:tcW w:type="dxa" w:w="3685"/>
            <w:vAlign w:val="center"/>
          </w:tcPr>
          <w:p>
            <w:pPr>
              <w:spacing w:before="0" w:after="40" w:line="264" w:lineRule="auto"/>
              <w:jc w:val="left"/>
            </w:pPr>
            <w:r>
              <w:rPr>
                <w:rFonts w:ascii="Arial" w:hAnsi="Arial" w:eastAsia="Arial"/>
                <w:b/>
                <w:color w:val="000000"/>
                <w:sz w:val="22"/>
              </w:rPr>
              <w:t>JUMLAH UNJURAN</w:t>
            </w:r>
          </w:p>
        </w:tc>
        <w:tc>
          <w:tcPr>
            <w:tcW w:type="dxa" w:w="1757"/>
            <w:vAlign w:val="center"/>
          </w:tcPr>
          <w:p>
            <w:pPr>
              <w:spacing w:before="0" w:after="40" w:line="264" w:lineRule="auto"/>
              <w:jc w:val="right"/>
            </w:pPr>
            <w:r>
              <w:rPr>
                <w:rFonts w:ascii="Arial" w:hAnsi="Arial" w:eastAsia="Arial"/>
                <w:b/>
                <w:color w:val="000000"/>
                <w:sz w:val="22"/>
              </w:rPr>
              <w:t>3,000.00</w:t>
            </w:r>
          </w:p>
        </w:tc>
        <w:tc>
          <w:tcPr>
            <w:tcW w:type="dxa" w:w="3583"/>
            <w:vAlign w:val="center"/>
          </w:tcPr>
          <w:p>
            <w:pPr>
              <w:spacing w:before="0" w:after="40" w:line="264" w:lineRule="auto"/>
              <w:jc w:val="right"/>
            </w:pPr>
            <w:r>
              <w:rPr>
                <w:rFonts w:ascii="Arial" w:hAnsi="Arial" w:eastAsia="Arial"/>
                <w:b/>
                <w:color w:val="000000"/>
                <w:sz w:val="22"/>
              </w:rPr>
              <w:t>Bukan dana tersedia</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Perkara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Kadar (RM)</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color w:val="000000"/>
                <w:sz w:val="22"/>
              </w:rPr>
              <w:t>Jumlah (RM)</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Makanan / minuman semasa kem</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70 orang</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12.00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840.00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Modul bacaan dan lembaran halaqah</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60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7.00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420.00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Kad rekod tasmik individu</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60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3.00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180.00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Mushaf dan bahan Iqra’ tambahan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20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left"/>
            </w:pPr>
            <w:r>
              <w:rPr>
                <w:rFonts w:ascii="Arial" w:hAnsi="Arial" w:eastAsia="Arial"/>
                <w:b w:val="0"/>
                <w:color w:val="000000"/>
                <w:sz w:val="22"/>
              </w:rPr>
              <w:t>25.00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64" w:lineRule="auto"/>
              <w:jc w:val="right"/>
            </w:pPr>
            <w:r>
              <w:rPr>
                <w:rFonts w:ascii="Arial" w:hAnsi="Arial" w:eastAsia="Arial"/>
                <w:b w:val="0"/>
                <w:color w:val="000000"/>
                <w:sz w:val="22"/>
              </w:rPr>
              <w:t>500.00</w:t>
            </w:r>
          </w:p>
        </w:tc>
      </w:tr>
      <w:tr>
        <w:trPr>
          <w:cantSplit/>
        </w:trPr>
        <w:tc>
          <w:tcPr>
            <w:tcW w:type="dxa" w:w="3345"/>
            <w:vAlign w:val="center"/>
          </w:tcPr>
          <w:p>
            <w:pPr>
              <w:spacing w:before="0" w:after="40" w:line="264" w:lineRule="auto"/>
              <w:jc w:val="left"/>
            </w:pPr>
            <w:r>
              <w:rPr>
                <w:rFonts w:ascii="Arial" w:hAnsi="Arial" w:eastAsia="Arial"/>
                <w:b w:val="0"/>
                <w:color w:val="000000"/>
                <w:sz w:val="22"/>
              </w:rPr>
              <w:t>Peralatan pengajaran / pembahagi ruang</w:t>
            </w:r>
          </w:p>
        </w:tc>
        <w:tc>
          <w:tcPr>
            <w:tcW w:type="dxa" w:w="1814"/>
            <w:vAlign w:val="center"/>
          </w:tcPr>
          <w:p>
            <w:pPr>
              <w:spacing w:before="0" w:after="40" w:line="264" w:lineRule="auto"/>
              <w:jc w:val="right"/>
            </w:pPr>
            <w:r>
              <w:rPr>
                <w:rFonts w:ascii="Arial" w:hAnsi="Arial" w:eastAsia="Arial"/>
                <w:b w:val="0"/>
                <w:color w:val="000000"/>
                <w:sz w:val="22"/>
              </w:rPr>
              <w:t>1 lot</w:t>
            </w:r>
          </w:p>
        </w:tc>
        <w:tc>
          <w:tcPr>
            <w:tcW w:type="dxa" w:w="1701"/>
            <w:vAlign w:val="center"/>
          </w:tcPr>
          <w:p>
            <w:pPr>
              <w:spacing w:before="0" w:after="40" w:line="264" w:lineRule="auto"/>
              <w:jc w:val="left"/>
            </w:pPr>
            <w:r>
              <w:rPr>
                <w:rFonts w:ascii="Arial" w:hAnsi="Arial" w:eastAsia="Arial"/>
                <w:b w:val="0"/>
                <w:color w:val="000000"/>
                <w:sz w:val="22"/>
              </w:rPr>
              <w:t>250.00</w:t>
            </w:r>
          </w:p>
        </w:tc>
        <w:tc>
          <w:tcPr>
            <w:tcW w:type="dxa" w:w="2166"/>
            <w:vAlign w:val="center"/>
          </w:tcPr>
          <w:p>
            <w:pPr>
              <w:spacing w:before="0" w:after="40" w:line="264" w:lineRule="auto"/>
              <w:jc w:val="right"/>
            </w:pPr>
            <w:r>
              <w:rPr>
                <w:rFonts w:ascii="Arial" w:hAnsi="Arial" w:eastAsia="Arial"/>
                <w:b w:val="0"/>
                <w:color w:val="000000"/>
                <w:sz w:val="22"/>
              </w:rPr>
              <w:t>250.00</w:t>
            </w:r>
          </w:p>
        </w:tc>
      </w:tr>
      <w:tr>
        <w:trPr>
          <w:cantSplit/>
        </w:trPr>
        <w:tc>
          <w:tcPr>
            <w:tcW w:type="dxa" w:w="3345"/>
            <w:vAlign w:val="center"/>
          </w:tcPr>
          <w:p>
            <w:pPr>
              <w:spacing w:before="0" w:after="40" w:line="264" w:lineRule="auto"/>
              <w:jc w:val="left"/>
            </w:pPr>
            <w:r>
              <w:rPr>
                <w:rFonts w:ascii="Arial" w:hAnsi="Arial" w:eastAsia="Arial"/>
                <w:b w:val="0"/>
                <w:color w:val="000000"/>
                <w:sz w:val="22"/>
              </w:rPr>
              <w:t>Sijil penyertaan dan fail</w:t>
            </w:r>
          </w:p>
        </w:tc>
        <w:tc>
          <w:tcPr>
            <w:tcW w:type="dxa" w:w="1814"/>
            <w:vAlign w:val="center"/>
          </w:tcPr>
          <w:p>
            <w:pPr>
              <w:spacing w:before="0" w:after="40" w:line="264" w:lineRule="auto"/>
              <w:jc w:val="right"/>
            </w:pPr>
            <w:r>
              <w:rPr>
                <w:rFonts w:ascii="Arial" w:hAnsi="Arial" w:eastAsia="Arial"/>
                <w:b w:val="0"/>
                <w:color w:val="000000"/>
                <w:sz w:val="22"/>
              </w:rPr>
              <w:t>60 set</w:t>
            </w:r>
          </w:p>
        </w:tc>
        <w:tc>
          <w:tcPr>
            <w:tcW w:type="dxa" w:w="1701"/>
            <w:vAlign w:val="center"/>
          </w:tcPr>
          <w:p>
            <w:pPr>
              <w:spacing w:before="0" w:after="40" w:line="264" w:lineRule="auto"/>
              <w:jc w:val="left"/>
            </w:pPr>
            <w:r>
              <w:rPr>
                <w:rFonts w:ascii="Arial" w:hAnsi="Arial" w:eastAsia="Arial"/>
                <w:b w:val="0"/>
                <w:color w:val="000000"/>
                <w:sz w:val="22"/>
              </w:rPr>
              <w:t>5.00</w:t>
            </w:r>
          </w:p>
        </w:tc>
        <w:tc>
          <w:tcPr>
            <w:tcW w:type="dxa" w:w="2166"/>
            <w:vAlign w:val="center"/>
          </w:tcPr>
          <w:p>
            <w:pPr>
              <w:spacing w:before="0" w:after="40" w:line="264" w:lineRule="auto"/>
              <w:jc w:val="right"/>
            </w:pPr>
            <w:r>
              <w:rPr>
                <w:rFonts w:ascii="Arial" w:hAnsi="Arial" w:eastAsia="Arial"/>
                <w:b w:val="0"/>
                <w:color w:val="000000"/>
                <w:sz w:val="22"/>
              </w:rPr>
              <w:t>300.00</w:t>
            </w:r>
          </w:p>
        </w:tc>
      </w:tr>
      <w:tr>
        <w:trPr>
          <w:cantSplit/>
        </w:trPr>
        <w:tc>
          <w:tcPr>
            <w:tcW w:type="dxa" w:w="3345"/>
            <w:vAlign w:val="center"/>
          </w:tcPr>
          <w:p>
            <w:pPr>
              <w:spacing w:before="0" w:after="40" w:line="264" w:lineRule="auto"/>
              <w:jc w:val="left"/>
            </w:pPr>
            <w:r>
              <w:rPr>
                <w:rFonts w:ascii="Arial" w:hAnsi="Arial" w:eastAsia="Arial"/>
                <w:b w:val="0"/>
                <w:color w:val="000000"/>
                <w:sz w:val="22"/>
              </w:rPr>
              <w:t>Kebajikan dan keselamatan</w:t>
            </w:r>
          </w:p>
        </w:tc>
        <w:tc>
          <w:tcPr>
            <w:tcW w:type="dxa" w:w="1814"/>
            <w:vAlign w:val="center"/>
          </w:tcPr>
          <w:p>
            <w:pPr>
              <w:spacing w:before="0" w:after="40" w:line="264" w:lineRule="auto"/>
              <w:jc w:val="right"/>
            </w:pPr>
            <w:r>
              <w:rPr>
                <w:rFonts w:ascii="Arial" w:hAnsi="Arial" w:eastAsia="Arial"/>
                <w:b w:val="0"/>
                <w:color w:val="000000"/>
                <w:sz w:val="22"/>
              </w:rPr>
              <w:t>1 lot</w:t>
            </w:r>
          </w:p>
        </w:tc>
        <w:tc>
          <w:tcPr>
            <w:tcW w:type="dxa" w:w="1701"/>
            <w:vAlign w:val="center"/>
          </w:tcPr>
          <w:p>
            <w:pPr>
              <w:spacing w:before="0" w:after="40" w:line="264" w:lineRule="auto"/>
              <w:jc w:val="left"/>
            </w:pPr>
            <w:r>
              <w:rPr>
                <w:rFonts w:ascii="Arial" w:hAnsi="Arial" w:eastAsia="Arial"/>
                <w:b w:val="0"/>
                <w:color w:val="000000"/>
                <w:sz w:val="22"/>
              </w:rPr>
              <w:t>150.00</w:t>
            </w:r>
          </w:p>
        </w:tc>
        <w:tc>
          <w:tcPr>
            <w:tcW w:type="dxa" w:w="2166"/>
            <w:vAlign w:val="center"/>
          </w:tcPr>
          <w:p>
            <w:pPr>
              <w:spacing w:before="0" w:after="40" w:line="264" w:lineRule="auto"/>
              <w:jc w:val="right"/>
            </w:pPr>
            <w:r>
              <w:rPr>
                <w:rFonts w:ascii="Arial" w:hAnsi="Arial" w:eastAsia="Arial"/>
                <w:b w:val="0"/>
                <w:color w:val="000000"/>
                <w:sz w:val="22"/>
              </w:rPr>
              <w:t>150.00</w:t>
            </w:r>
          </w:p>
        </w:tc>
      </w:tr>
      <w:tr>
        <w:trPr>
          <w:cantSplit/>
        </w:trPr>
        <w:tc>
          <w:tcPr>
            <w:tcW w:type="dxa" w:w="3345"/>
            <w:vAlign w:val="center"/>
          </w:tcPr>
          <w:p>
            <w:pPr>
              <w:spacing w:before="0" w:after="40" w:line="264" w:lineRule="auto"/>
              <w:jc w:val="left"/>
            </w:pPr>
            <w:r>
              <w:rPr>
                <w:rFonts w:ascii="Arial" w:hAnsi="Arial" w:eastAsia="Arial"/>
                <w:b w:val="0"/>
                <w:color w:val="000000"/>
                <w:sz w:val="22"/>
              </w:rPr>
              <w:t>Peruntukan luar jangka</w:t>
            </w:r>
          </w:p>
        </w:tc>
        <w:tc>
          <w:tcPr>
            <w:tcW w:type="dxa" w:w="1814"/>
            <w:vAlign w:val="center"/>
          </w:tcPr>
          <w:p>
            <w:pPr>
              <w:spacing w:before="0" w:after="40" w:line="264" w:lineRule="auto"/>
              <w:jc w:val="right"/>
            </w:pPr>
            <w:r>
              <w:rPr>
                <w:rFonts w:ascii="Arial" w:hAnsi="Arial" w:eastAsia="Arial"/>
                <w:b w:val="0"/>
                <w:color w:val="000000"/>
                <w:sz w:val="22"/>
              </w:rPr>
              <w:t>1 lot</w:t>
            </w:r>
          </w:p>
        </w:tc>
        <w:tc>
          <w:tcPr>
            <w:tcW w:type="dxa" w:w="1701"/>
            <w:vAlign w:val="center"/>
          </w:tcPr>
          <w:p>
            <w:pPr>
              <w:spacing w:before="0" w:after="40" w:line="264" w:lineRule="auto"/>
              <w:jc w:val="left"/>
            </w:pPr>
            <w:r>
              <w:rPr>
                <w:rFonts w:ascii="Arial" w:hAnsi="Arial" w:eastAsia="Arial"/>
                <w:b w:val="0"/>
                <w:color w:val="000000"/>
                <w:sz w:val="22"/>
              </w:rPr>
              <w:t>360.00</w:t>
            </w:r>
          </w:p>
        </w:tc>
        <w:tc>
          <w:tcPr>
            <w:tcW w:type="dxa" w:w="2166"/>
            <w:vAlign w:val="center"/>
          </w:tcPr>
          <w:p>
            <w:pPr>
              <w:spacing w:before="0" w:after="40" w:line="264" w:lineRule="auto"/>
              <w:jc w:val="right"/>
            </w:pPr>
            <w:r>
              <w:rPr>
                <w:rFonts w:ascii="Arial" w:hAnsi="Arial" w:eastAsia="Arial"/>
                <w:b w:val="0"/>
                <w:color w:val="000000"/>
                <w:sz w:val="22"/>
              </w:rPr>
              <w:t>360.00</w:t>
            </w:r>
          </w:p>
        </w:tc>
      </w:tr>
      <w:tr>
        <w:trPr>
          <w:cantSplit/>
        </w:trPr>
        <w:tc>
          <w:tcPr>
            <w:tcW w:type="dxa" w:w="3345"/>
            <w:vAlign w:val="center"/>
          </w:tcPr>
          <w:p>
            <w:pPr>
              <w:spacing w:before="0" w:after="40" w:line="264" w:lineRule="auto"/>
              <w:jc w:val="left"/>
            </w:pPr>
            <w:r>
              <w:rPr>
                <w:rFonts w:ascii="Arial" w:hAnsi="Arial" w:eastAsia="Arial"/>
                <w:b/>
                <w:color w:val="000000"/>
                <w:sz w:val="22"/>
              </w:rPr>
              <w:t>JUMLAH KOS KEM</w:t>
            </w:r>
          </w:p>
        </w:tc>
        <w:tc>
          <w:tcPr>
            <w:tcW w:type="dxa" w:w="1814"/>
            <w:vAlign w:val="center"/>
          </w:tcPr>
          <w:p>
            <w:pPr>
              <w:spacing w:before="0" w:after="40" w:line="264" w:lineRule="auto"/>
              <w:jc w:val="right"/>
            </w:pPr>
            <w:r>
              <w:rPr>
                <w:rFonts w:ascii="Arial" w:hAnsi="Arial" w:eastAsia="Arial"/>
                <w:b/>
                <w:color w:val="000000"/>
                <w:sz w:val="22"/>
              </w:rPr>
            </w:r>
          </w:p>
        </w:tc>
        <w:tc>
          <w:tcPr>
            <w:tcW w:type="dxa" w:w="1701"/>
            <w:vAlign w:val="center"/>
          </w:tcPr>
          <w:p>
            <w:pPr>
              <w:spacing w:before="0" w:after="40" w:line="264" w:lineRule="auto"/>
              <w:jc w:val="left"/>
            </w:pPr>
            <w:r>
              <w:rPr>
                <w:rFonts w:ascii="Arial" w:hAnsi="Arial" w:eastAsia="Arial"/>
                <w:b/>
                <w:color w:val="000000"/>
                <w:sz w:val="22"/>
              </w:rPr>
            </w:r>
          </w:p>
        </w:tc>
        <w:tc>
          <w:tcPr>
            <w:tcW w:type="dxa" w:w="2166"/>
            <w:vAlign w:val="center"/>
          </w:tcPr>
          <w:p>
            <w:pPr>
              <w:spacing w:before="0" w:after="40" w:line="264" w:lineRule="auto"/>
              <w:jc w:val="right"/>
            </w:pPr>
            <w:r>
              <w:rPr>
                <w:rFonts w:ascii="Arial" w:hAnsi="Arial" w:eastAsia="Arial"/>
                <w:b/>
                <w:color w:val="000000"/>
                <w:sz w:val="22"/>
              </w:rPr>
              <w:t>3,000.00</w:t>
            </w:r>
          </w:p>
        </w:tc>
      </w:tr>
    </w:tbl>
    <w:p>
      <w:pPr>
        <w:spacing w:after="20" w:before="0" w:line="360" w:lineRule="auto"/>
      </w:pPr>
      <w:r>
        <w:rPr>
          <w:rFonts w:ascii="Arial" w:hAnsi="Arial" w:eastAsia="Arial" w:cs="Arial"/>
          <w:b w:val="0"/>
          <w:i w:val="0"/>
          <w:color w:val="000000"/>
          <w:sz w:val="22"/>
        </w:rPr>
      </w:r>
    </w:p>
    <w:p>
      <w:pPr>
        <w:spacing w:line="360" w:lineRule="auto"/>
      </w:pPr>
      <w:r>
        <w:rPr>
          <w:rFonts w:ascii="Arial" w:hAnsi="Arial" w:eastAsia="Arial"/>
          <w:color w:val="000000"/>
          <w:sz w:val="22"/>
        </w:rPr>
        <w:t>Jurang unjuran ialah RM0.00 hanya sekiranya keseluruhan RM3,000.00 sumber cadangan benar-benar diluluskan dan diterima. Kos makanan dihitung untuk 70 orang; pembelian mushaf/buku Iqra’ adalah bagi stok tambahan, bukan 60 mushaf baharu. Belanja hendaklah disemak mengikut keperluan sebenar dan tatacara kewangan.</w:t>
      </w:r>
    </w:p>
    <w:p>
      <w:pPr>
        <w:pStyle w:val="Heading1"/>
        <w:keepNext/>
        <w:keepLines/>
        <w:numPr>
          <w:ilvl w:val="0"/>
          <w:numId w:val="10"/>
        </w:numPr>
        <w:spacing w:line="360" w:lineRule="auto"/>
      </w:pPr>
      <w:r>
        <w:rPr>
          <w:rFonts w:ascii="Arial" w:hAnsi="Arial" w:eastAsia="Arial" w:cs="Arial"/>
          <w:b/>
          <w:i w:val="0"/>
          <w:color w:val="000000"/>
          <w:sz w:val="22"/>
        </w:rPr>
        <w:t>PENGANGKUTAN</w:t>
      </w:r>
    </w:p>
    <w:p>
      <w:pPr>
        <w:spacing w:line="360" w:lineRule="auto"/>
      </w:pPr>
      <w:r>
        <w:rPr>
          <w:rFonts w:ascii="Arial" w:hAnsi="Arial" w:eastAsia="Arial"/>
          <w:color w:val="000000"/>
          <w:sz w:val="22"/>
        </w:rPr>
        <w:t>Pengangkutan luar tidak diperlukan kerana kem dilaksanakan dalam kawasan sekolah. Murid hadir dan pulang mengikut prosedur sekolah yang dimaklumkan kepada ibu bapa/penjaga. Kehadiran pada hari Sabtu (contoh) tertakluk kepada persetujuan, kebenaran dan penyelarasan sekolah; murid yang tidak dapat hadir hendaklah ditawarkan susulan bacaan alternatif tanpa kehilangan peluang bimbingan.</w:t>
      </w:r>
    </w:p>
    <w:p>
      <w:pPr>
        <w:pStyle w:val="Heading1"/>
        <w:keepNext/>
        <w:keepLines/>
        <w:numPr>
          <w:ilvl w:val="0"/>
          <w:numId w:val="10"/>
        </w:numPr>
        <w:spacing w:line="360" w:lineRule="auto"/>
      </w:pPr>
      <w:r>
        <w:rPr>
          <w:rFonts w:ascii="Arial" w:hAnsi="Arial" w:eastAsia="Arial" w:cs="Arial"/>
          <w:b/>
          <w:i w:val="0"/>
          <w:color w:val="000000"/>
          <w:sz w:val="22"/>
        </w:rPr>
        <w:t>PERALATAN DAN MAKANAN</w:t>
      </w:r>
    </w:p>
    <w:p>
      <w:pPr>
        <w:spacing w:line="360" w:lineRule="auto"/>
      </w:pPr>
      <w:r>
        <w:rPr>
          <w:rFonts w:ascii="Arial" w:hAnsi="Arial" w:eastAsia="Arial"/>
          <w:color w:val="000000"/>
          <w:sz w:val="22"/>
        </w:rPr>
        <w:t>Peralatan: mushaf al-Quran yang sesuai, bahan Iqra’ untuk kumpulan intervensi, rehal atau meja rendah, penanda bacaan, kad rekod individu, alat tulis, jam masa, papan putih, pembesar suara sedia ada, air minuman dan kit pertolongan cemas. Makanan meliputi minum pagi dan makan tengah hari bagi 70 peserta/petugas contoh. Teks al-Quran hendaklah diurus dengan tertib; semak keadaan tempat simpanan dan bimbing murid tentang adabnya. Penggunaan mushaf mengikut kesesuaian murid dan panduan guru.</w:t>
      </w:r>
    </w:p>
    <w:p>
      <w:pPr>
        <w:pStyle w:val="Heading1"/>
        <w:keepNext/>
        <w:keepLines/>
        <w:numPr>
          <w:ilvl w:val="0"/>
          <w:numId w:val="10"/>
        </w:numPr>
        <w:spacing w:line="360" w:lineRule="auto"/>
      </w:pPr>
      <w:r>
        <w:rPr>
          <w:rFonts w:ascii="Arial" w:hAnsi="Arial" w:eastAsia="Arial" w:cs="Arial"/>
          <w:b/>
          <w:i w:val="0"/>
          <w:color w:val="000000"/>
          <w:sz w:val="22"/>
        </w:rPr>
        <w:t>PENUTUP</w:t>
      </w:r>
    </w:p>
    <w:p>
      <w:pPr>
        <w:keepLines/>
        <w:spacing w:line="360" w:lineRule="auto"/>
      </w:pPr>
      <w:r>
        <w:rPr>
          <w:rFonts w:ascii="Arial" w:hAnsi="Arial" w:eastAsia="Arial"/>
          <w:color w:val="000000"/>
          <w:sz w:val="22"/>
        </w:rPr>
        <w:t>Kem Literasi al-Quran Tahun 6 dicadangkan untuk meningkatkan penguasaan bacaan dan membantu murid khatam al-Quran dengan rekod tasmik yang disahkan. Kejayaan turut dinilai melalui kemajuan setiap murid. Pelaksanaan tertakluk kepada kelulusan pentadbir, petugas dan sumber kewangan.</w:t>
      </w:r>
    </w:p>
    <w:p>
      <w:pPr>
        <w:pStyle w:val="Heading1"/>
        <w:keepNext/>
        <w:keepLines/>
        <w:pageBreakBefore w:val="0"/>
        <w:numPr>
          <w:ilvl w:val="0"/>
          <w:numId w:val="10"/>
        </w:numPr>
        <w:spacing w:line="360" w:lineRule="auto"/>
      </w:pPr>
      <w:r>
        <w:rPr>
          <w:rFonts w:ascii="Arial" w:hAnsi="Arial" w:eastAsia="Arial" w:cs="Arial"/>
          <w:b/>
          <w:i w:val="0"/>
          <w:color w:val="000000"/>
          <w:sz w:val="22"/>
        </w:rPr>
        <w:t>PENGESAHAN KERTAS KERJA PROGRAM</w:t>
      </w:r>
    </w:p>
    <w:p>
      <w:pPr>
        <w:pStyle w:val="KKSignature"/>
        <w:keepNext/>
        <w:keepLines/>
        <w:spacing w:line="360" w:lineRule="auto"/>
      </w:pPr>
      <w:r>
        <w:rPr>
          <w:rFonts w:ascii="Arial" w:hAnsi="Arial" w:eastAsia="Arial"/>
          <w:color w:val="000000"/>
          <w:sz w:val="22"/>
        </w:rPr>
        <w:t>Disediakan oleh:</w:t>
      </w:r>
    </w:p>
    <w:p>
      <w:pPr>
        <w:pStyle w:val="KKSignature"/>
        <w:keepLines/>
        <w:spacing w:line="360" w:lineRule="auto"/>
      </w:pPr>
      <w:r>
        <w:rPr>
          <w:rFonts w:ascii="Arial" w:hAnsi="Arial" w:eastAsia="Arial"/>
          <w:color w:val="000000"/>
          <w:sz w:val="22"/>
        </w:rPr>
        <w:t>Tandatangan: ______________________________</w:t>
        <w:br/>
        <w:t>Nama/Jawatan: Penyelaras Kem Literasi al-Quran Tahun 6</w:t>
        <w:br/>
        <w:t>Tarikh: ______________________________</w:t>
      </w:r>
    </w:p>
    <w:p>
      <w:pPr>
        <w:pStyle w:val="KKSignature"/>
        <w:keepNext/>
        <w:keepLines/>
        <w:spacing w:line="360" w:lineRule="auto"/>
      </w:pPr>
      <w:r>
        <w:rPr>
          <w:rFonts w:ascii="Arial" w:hAnsi="Arial" w:eastAsia="Arial"/>
          <w:color w:val="000000"/>
          <w:sz w:val="22"/>
        </w:rPr>
        <w:t>Disemak oleh:</w:t>
      </w:r>
    </w:p>
    <w:p>
      <w:pPr>
        <w:pStyle w:val="KKSignature"/>
        <w:keepLines/>
        <w:spacing w:line="360" w:lineRule="auto"/>
      </w:pPr>
      <w:r>
        <w:rPr>
          <w:rFonts w:ascii="Arial" w:hAnsi="Arial" w:eastAsia="Arial"/>
          <w:color w:val="000000"/>
          <w:sz w:val="22"/>
        </w:rPr>
        <w:t>Tandatangan: ______________________________</w:t>
        <w:br/>
        <w:t>Nama/Jawatan: Ketua Panitia Pendidikan Islam / Penolong Kanan Pentadbiran</w:t>
        <w:br/>
        <w:t>Tarikh: ______________________________</w:t>
      </w:r>
    </w:p>
    <w:p>
      <w:pPr>
        <w:pStyle w:val="KKSignature"/>
        <w:keepNext/>
        <w:keepLines/>
        <w:spacing w:line="360" w:lineRule="auto"/>
      </w:pPr>
      <w:r>
        <w:rPr>
          <w:rFonts w:ascii="Arial" w:hAnsi="Arial" w:eastAsia="Arial"/>
          <w:color w:val="000000"/>
          <w:sz w:val="22"/>
        </w:rPr>
        <w:t>Diluluskan oleh:</w:t>
      </w:r>
    </w:p>
    <w:p>
      <w:pPr>
        <w:pStyle w:val="KKSignature"/>
        <w:keepLines/>
        <w:spacing w:line="360" w:lineRule="auto"/>
      </w:pPr>
      <w:r>
        <w:rPr>
          <w:rFonts w:ascii="Arial" w:hAnsi="Arial" w:eastAsia="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eastAsia="Arial"/>
          <w:color w:val="000000"/>
          <w:sz w:val="22"/>
        </w:rPr>
        <w:t>Keputusan: Lulus / Tidak lulus / Perlu pindaan. Status kelulusan dan tandatangan diisi oleh pegawai sebenar sahaja.</w:t>
      </w:r>
    </w:p>
    <w:p>
      <w:pPr>
        <w:pStyle w:val="KKLampiran"/>
        <w:keepNext/>
        <w:keepLines/>
        <w:spacing w:line="360" w:lineRule="auto"/>
      </w:pPr>
      <w:r>
        <w:rPr>
          <w:rFonts w:ascii="Arial" w:hAnsi="Arial" w:eastAsia="Arial"/>
          <w:color w:val="000000"/>
          <w:sz w:val="22"/>
        </w:rPr>
        <w:t>LAMPIRAN — KAEDAH BIMBINGAN DAN PEMANTAUAN</w:t>
      </w:r>
    </w:p>
    <w:p>
      <w:pPr>
        <w:pStyle w:val="KKCoverField"/>
        <w:spacing w:line="360" w:lineRule="auto"/>
      </w:pPr>
      <w:r>
        <w:rPr>
          <w:rFonts w:ascii="Arial" w:hAnsi="Arial" w:eastAsia="Arial"/>
          <w:color w:val="000000"/>
          <w:sz w:val="22"/>
        </w:rPr>
        <w:t>Lampiran A — Fasa 12 minggu: Minggu 1 saringan dan sasaran individu; minggu 2 kem intensif serta pembetulan asas; minggu 3–10 bimbingan/tasmik berkala; minggu 11–12 semakan kemajuan dan pelaporan. Peserta yang belum khatam meneruskan pelan sokongan selepas fasa ini hingga tamat Tahun 6 mengikut keputusan sekolah.</w:t>
      </w:r>
    </w:p>
    <w:p>
      <w:pPr>
        <w:pStyle w:val="KKCoverField"/>
        <w:spacing w:line="360" w:lineRule="auto"/>
      </w:pPr>
      <w:r>
        <w:rPr>
          <w:rFonts w:ascii="Arial" w:hAnsi="Arial" w:eastAsia="Arial"/>
          <w:color w:val="000000"/>
          <w:sz w:val="22"/>
        </w:rPr>
        <w:t>Lampiran B — Rekod individu: tarikh, kod/nama murid (rekod sulit), tahap awal, surah/ayat/juzuk/halaman terakhir yang disahkan, kesalahan utama, guru penyemak, sasaran berikutnya dan status khatam. Sijil khatam hanya dikeluarkan selepas semakan bacaan yang lengkap. Murid yang khatam sebelum program direkodkan dalam kategori berasingan.</w:t>
      </w:r>
    </w:p>
    <w:p>
      <w:pPr>
        <w:pStyle w:val="KKCoverField"/>
        <w:keepLines/>
        <w:spacing w:line="360" w:lineRule="auto"/>
      </w:pPr>
      <w:r>
        <w:rPr>
          <w:rFonts w:ascii="Arial" w:hAnsi="Arial" w:eastAsia="Arial"/>
          <w:color w:val="000000"/>
          <w:sz w:val="22"/>
        </w:rPr>
        <w:t>Lampiran C — Keselamatan/kerahsiaan: pergerakan murid semasa kem; air minuman; ruang halaqah yang diawasi; kesihatan/keperluan khas; akses kepada tandas dan ruang rehat; komunikasi ibu bapa; kerahsiaan rekod tahap bacaan; elakkan paparan senarai murid yang belum khatam kepada umum.</w:t>
      </w:r>
    </w:p>
    <w:p>
      <w:pPr>
        <w:pStyle w:val="KKCoverField"/>
        <w:spacing w:line="360" w:lineRule="auto"/>
      </w:pPr>
      <w:r>
        <w:rPr>
          <w:rFonts w:ascii="Arial" w:hAnsi="Arial" w:eastAsia="Arial"/>
          <w:color w:val="000000"/>
          <w:sz w:val="22"/>
        </w:rPr>
        <w:t>Lampiran D — Pelaporan: bilangan murid disaring, bilangan mendapat sasaran individu, kehadiran kem, sesi tasmik yang terlaksana, pergerakan tahap bacaan, bilangan telah khatam sebelum program, bilangan khatam semasa program dan bilangan masih memerlukan bimbingan. Rekod dikemas kini mengikut kelulusan sekolah.</w:t>
      </w:r>
    </w:p>
    <w:p>
      <w:pPr>
        <w:pStyle w:val="KKLampiran"/>
        <w:keepNext/>
        <w:keepLines/>
      </w:pPr>
      <w:r>
        <w:rPr>
          <w:rFonts w:ascii="Arial" w:hAnsi="Arial" w:eastAsia="Arial"/>
          <w:color w:val="000000"/>
          <w:sz w:val="22"/>
        </w:rPr>
        <w:t>LAMPIRAN E — CONTOH REKOD TAHAP DAN KEMAJUAN BACAAN</w:t>
      </w:r>
    </w:p>
    <w:p>
      <w:r>
        <w:rPr>
          <w:rFonts w:ascii="Arial" w:hAnsi="Arial" w:eastAsia="Arial"/>
          <w:color w:val="000000"/>
          <w:sz w:val="22"/>
        </w:rPr>
        <w:t>Jadual di bawah hanya menggambarkan kaedah merekod kemajuan. Ia bukan dapatan atau rekod murid sebenar. Sekolah hendaklah mengurus rekod individu penuh dalam dokumen dalaman yang terhad aksesnya.</w:t>
      </w:r>
    </w:p>
    <w:tbl>
      <w:tblPr>
        <w:tblStyle w:val="TableGrid"/>
        <w:tblW w:type="auto" w:w="0"/>
        <w:tblLook w:firstColumn="1" w:firstRow="1" w:lastColumn="0" w:lastRow="0" w:noHBand="0" w:noVBand="1" w:val="04A0"/>
      </w:tblPr>
      <w:tblGrid>
        <w:gridCol w:w="1805"/>
        <w:gridCol w:w="1805"/>
        <w:gridCol w:w="1805"/>
        <w:gridCol w:w="1805"/>
        <w:gridCol w:w="1805"/>
      </w:tblGrid>
      <w:tr>
        <w:trPr>
          <w:tblHeader/>
          <w:cantSplit/>
        </w:trPr>
        <w:tc>
          <w:tcPr>
            <w:tcW w:type="dxa" w:w="1805"/>
            <w:vAlign w:val="center"/>
          </w:tcPr>
          <w:p>
            <w:pPr>
              <w:spacing w:before="0" w:after="40" w:line="240" w:lineRule="auto"/>
            </w:pPr>
            <w:r>
              <w:rPr>
                <w:rFonts w:ascii="Arial" w:hAnsi="Arial"/>
                <w:b/>
                <w:color w:val="000000"/>
                <w:sz w:val="22"/>
              </w:rPr>
              <w:t>Kod murid</w:t>
            </w:r>
          </w:p>
        </w:tc>
        <w:tc>
          <w:tcPr>
            <w:tcW w:type="dxa" w:w="1805"/>
            <w:vAlign w:val="center"/>
          </w:tcPr>
          <w:p>
            <w:pPr>
              <w:spacing w:before="0" w:after="40" w:line="240" w:lineRule="auto"/>
            </w:pPr>
            <w:r>
              <w:rPr>
                <w:rFonts w:ascii="Arial" w:hAnsi="Arial"/>
                <w:b/>
                <w:color w:val="000000"/>
                <w:sz w:val="22"/>
              </w:rPr>
              <w:t>Tahap awal (contoh)</w:t>
            </w:r>
          </w:p>
        </w:tc>
        <w:tc>
          <w:tcPr>
            <w:tcW w:type="dxa" w:w="1805"/>
            <w:vAlign w:val="center"/>
          </w:tcPr>
          <w:p>
            <w:pPr>
              <w:spacing w:before="0" w:after="40" w:line="240" w:lineRule="auto"/>
            </w:pPr>
            <w:r>
              <w:rPr>
                <w:rFonts w:ascii="Arial" w:hAnsi="Arial"/>
                <w:b/>
                <w:color w:val="000000"/>
                <w:sz w:val="22"/>
              </w:rPr>
              <w:t>Bacaan semasa / tahap</w:t>
            </w:r>
          </w:p>
        </w:tc>
        <w:tc>
          <w:tcPr>
            <w:tcW w:type="dxa" w:w="1805"/>
            <w:vAlign w:val="center"/>
          </w:tcPr>
          <w:p>
            <w:pPr>
              <w:spacing w:before="0" w:after="40" w:line="240" w:lineRule="auto"/>
            </w:pPr>
            <w:r>
              <w:rPr>
                <w:rFonts w:ascii="Arial" w:hAnsi="Arial"/>
                <w:b/>
                <w:color w:val="000000"/>
                <w:sz w:val="22"/>
              </w:rPr>
              <w:t>Sasaran individu</w:t>
            </w:r>
          </w:p>
        </w:tc>
        <w:tc>
          <w:tcPr>
            <w:tcW w:type="dxa" w:w="1805"/>
            <w:vAlign w:val="center"/>
          </w:tcPr>
          <w:p>
            <w:pPr>
              <w:spacing w:before="0" w:after="40" w:line="240" w:lineRule="auto"/>
            </w:pPr>
            <w:r>
              <w:rPr>
                <w:rFonts w:ascii="Arial" w:hAnsi="Arial"/>
                <w:b/>
                <w:color w:val="000000"/>
                <w:sz w:val="22"/>
              </w:rPr>
              <w:t>Status semakan</w:t>
            </w:r>
          </w:p>
        </w:tc>
      </w:tr>
      <w:tr>
        <w:trPr>
          <w:cantSplit/>
        </w:trPr>
        <w:tc>
          <w:tcPr>
            <w:tcW w:type="dxa" w:w="1805"/>
            <w:vAlign w:val="center"/>
          </w:tcPr>
          <w:p>
            <w:pPr>
              <w:spacing w:before="0" w:after="40" w:line="240" w:lineRule="auto"/>
            </w:pPr>
            <w:r>
              <w:rPr>
                <w:rFonts w:ascii="Arial" w:hAnsi="Arial"/>
                <w:b w:val="0"/>
                <w:color w:val="000000"/>
                <w:sz w:val="22"/>
              </w:rPr>
              <w:t>M01</w:t>
            </w:r>
          </w:p>
        </w:tc>
        <w:tc>
          <w:tcPr>
            <w:tcW w:type="dxa" w:w="1805"/>
            <w:vAlign w:val="center"/>
          </w:tcPr>
          <w:p>
            <w:pPr>
              <w:spacing w:before="0" w:after="40" w:line="240" w:lineRule="auto"/>
            </w:pPr>
            <w:r>
              <w:rPr>
                <w:rFonts w:ascii="Arial" w:hAnsi="Arial"/>
                <w:b w:val="0"/>
                <w:color w:val="000000"/>
                <w:sz w:val="22"/>
              </w:rPr>
              <w:t>A</w:t>
            </w:r>
          </w:p>
        </w:tc>
        <w:tc>
          <w:tcPr>
            <w:tcW w:type="dxa" w:w="1805"/>
            <w:vAlign w:val="center"/>
          </w:tcPr>
          <w:p>
            <w:pPr>
              <w:spacing w:before="0" w:after="40" w:line="240" w:lineRule="auto"/>
            </w:pPr>
            <w:r>
              <w:rPr>
                <w:rFonts w:ascii="Arial" w:hAnsi="Arial"/>
                <w:b w:val="0"/>
                <w:color w:val="000000"/>
                <w:sz w:val="22"/>
              </w:rPr>
              <w:t>Juzuk 28</w:t>
            </w:r>
          </w:p>
        </w:tc>
        <w:tc>
          <w:tcPr>
            <w:tcW w:type="dxa" w:w="1805"/>
            <w:vAlign w:val="center"/>
          </w:tcPr>
          <w:p>
            <w:pPr>
              <w:spacing w:before="0" w:after="40" w:line="240" w:lineRule="auto"/>
            </w:pPr>
            <w:r>
              <w:rPr>
                <w:rFonts w:ascii="Arial" w:hAnsi="Arial"/>
                <w:b w:val="0"/>
                <w:color w:val="000000"/>
                <w:sz w:val="22"/>
              </w:rPr>
              <w:t>Sempurnakan bacaan dan tasmik</w:t>
            </w:r>
          </w:p>
        </w:tc>
        <w:tc>
          <w:tcPr>
            <w:tcW w:type="dxa" w:w="1805"/>
            <w:vAlign w:val="center"/>
          </w:tcPr>
          <w:p>
            <w:pPr>
              <w:spacing w:before="0" w:after="40" w:line="240" w:lineRule="auto"/>
            </w:pPr>
            <w:r>
              <w:rPr>
                <w:rFonts w:ascii="Arial" w:hAnsi="Arial"/>
                <w:b w:val="0"/>
                <w:color w:val="000000"/>
                <w:sz w:val="22"/>
              </w:rPr>
              <w:t>Sedang dibimbing</w:t>
            </w:r>
          </w:p>
        </w:tc>
      </w:tr>
      <w:tr>
        <w:trPr>
          <w:cantSplit/>
        </w:trPr>
        <w:tc>
          <w:tcPr>
            <w:tcW w:type="dxa" w:w="1805"/>
            <w:vAlign w:val="center"/>
          </w:tcPr>
          <w:p>
            <w:pPr>
              <w:spacing w:before="0" w:after="40" w:line="240" w:lineRule="auto"/>
            </w:pPr>
            <w:r>
              <w:rPr>
                <w:rFonts w:ascii="Arial" w:hAnsi="Arial"/>
                <w:b w:val="0"/>
                <w:color w:val="000000"/>
                <w:sz w:val="22"/>
              </w:rPr>
              <w:t>M02</w:t>
            </w:r>
          </w:p>
        </w:tc>
        <w:tc>
          <w:tcPr>
            <w:tcW w:type="dxa" w:w="1805"/>
            <w:vAlign w:val="center"/>
          </w:tcPr>
          <w:p>
            <w:pPr>
              <w:spacing w:before="0" w:after="40" w:line="240" w:lineRule="auto"/>
            </w:pPr>
            <w:r>
              <w:rPr>
                <w:rFonts w:ascii="Arial" w:hAnsi="Arial"/>
                <w:b w:val="0"/>
                <w:color w:val="000000"/>
                <w:sz w:val="22"/>
              </w:rPr>
              <w:t>A</w:t>
            </w:r>
          </w:p>
        </w:tc>
        <w:tc>
          <w:tcPr>
            <w:tcW w:type="dxa" w:w="1805"/>
            <w:vAlign w:val="center"/>
          </w:tcPr>
          <w:p>
            <w:pPr>
              <w:spacing w:before="0" w:after="40" w:line="240" w:lineRule="auto"/>
            </w:pPr>
            <w:r>
              <w:rPr>
                <w:rFonts w:ascii="Arial" w:hAnsi="Arial"/>
                <w:b w:val="0"/>
                <w:color w:val="000000"/>
                <w:sz w:val="22"/>
              </w:rPr>
              <w:t>Juzuk 25</w:t>
            </w:r>
          </w:p>
        </w:tc>
        <w:tc>
          <w:tcPr>
            <w:tcW w:type="dxa" w:w="1805"/>
            <w:vAlign w:val="center"/>
          </w:tcPr>
          <w:p>
            <w:pPr>
              <w:spacing w:before="0" w:after="40" w:line="240" w:lineRule="auto"/>
            </w:pPr>
            <w:r>
              <w:rPr>
                <w:rFonts w:ascii="Arial" w:hAnsi="Arial"/>
                <w:b w:val="0"/>
                <w:color w:val="000000"/>
                <w:sz w:val="22"/>
              </w:rPr>
              <w:t>Sasaran 2–3 muka surat sehari</w:t>
            </w:r>
          </w:p>
        </w:tc>
        <w:tc>
          <w:tcPr>
            <w:tcW w:type="dxa" w:w="1805"/>
            <w:vAlign w:val="center"/>
          </w:tcPr>
          <w:p>
            <w:pPr>
              <w:spacing w:before="0" w:after="40" w:line="240" w:lineRule="auto"/>
            </w:pPr>
            <w:r>
              <w:rPr>
                <w:rFonts w:ascii="Arial" w:hAnsi="Arial"/>
                <w:b w:val="0"/>
                <w:color w:val="000000"/>
                <w:sz w:val="22"/>
              </w:rPr>
              <w:t>Sedang dibimbing</w:t>
            </w:r>
          </w:p>
        </w:tc>
      </w:tr>
      <w:tr>
        <w:trPr>
          <w:cantSplit/>
        </w:trPr>
        <w:tc>
          <w:tcPr>
            <w:tcW w:type="dxa" w:w="1805"/>
            <w:vAlign w:val="center"/>
          </w:tcPr>
          <w:p>
            <w:pPr>
              <w:spacing w:before="0" w:after="40" w:line="240" w:lineRule="auto"/>
            </w:pPr>
            <w:r>
              <w:rPr>
                <w:rFonts w:ascii="Arial" w:hAnsi="Arial"/>
                <w:b w:val="0"/>
                <w:color w:val="000000"/>
                <w:sz w:val="22"/>
              </w:rPr>
              <w:t>M03</w:t>
            </w:r>
          </w:p>
        </w:tc>
        <w:tc>
          <w:tcPr>
            <w:tcW w:type="dxa" w:w="1805"/>
            <w:vAlign w:val="center"/>
          </w:tcPr>
          <w:p>
            <w:pPr>
              <w:spacing w:before="0" w:after="40" w:line="240" w:lineRule="auto"/>
            </w:pPr>
            <w:r>
              <w:rPr>
                <w:rFonts w:ascii="Arial" w:hAnsi="Arial"/>
                <w:b w:val="0"/>
                <w:color w:val="000000"/>
                <w:sz w:val="22"/>
              </w:rPr>
              <w:t>B</w:t>
            </w:r>
          </w:p>
        </w:tc>
        <w:tc>
          <w:tcPr>
            <w:tcW w:type="dxa" w:w="1805"/>
            <w:vAlign w:val="center"/>
          </w:tcPr>
          <w:p>
            <w:pPr>
              <w:spacing w:before="0" w:after="40" w:line="240" w:lineRule="auto"/>
            </w:pPr>
            <w:r>
              <w:rPr>
                <w:rFonts w:ascii="Arial" w:hAnsi="Arial"/>
                <w:b w:val="0"/>
                <w:color w:val="000000"/>
                <w:sz w:val="22"/>
              </w:rPr>
              <w:t>Juzuk 12</w:t>
            </w:r>
          </w:p>
        </w:tc>
        <w:tc>
          <w:tcPr>
            <w:tcW w:type="dxa" w:w="1805"/>
            <w:vAlign w:val="center"/>
          </w:tcPr>
          <w:p>
            <w:pPr>
              <w:spacing w:before="0" w:after="40" w:line="240" w:lineRule="auto"/>
            </w:pPr>
            <w:r>
              <w:rPr>
                <w:rFonts w:ascii="Arial" w:hAnsi="Arial"/>
                <w:b w:val="0"/>
                <w:color w:val="000000"/>
                <w:sz w:val="22"/>
              </w:rPr>
              <w:t>Tingkatkan kelancaran &amp; sambung bacaan</w:t>
            </w:r>
          </w:p>
        </w:tc>
        <w:tc>
          <w:tcPr>
            <w:tcW w:type="dxa" w:w="1805"/>
            <w:vAlign w:val="center"/>
          </w:tcPr>
          <w:p>
            <w:pPr>
              <w:spacing w:before="0" w:after="40" w:line="240" w:lineRule="auto"/>
            </w:pPr>
            <w:r>
              <w:rPr>
                <w:rFonts w:ascii="Arial" w:hAnsi="Arial"/>
                <w:b w:val="0"/>
                <w:color w:val="000000"/>
                <w:sz w:val="22"/>
              </w:rPr>
              <w:t>Sedang dibimbing</w:t>
            </w:r>
          </w:p>
        </w:tc>
      </w:tr>
      <w:tr>
        <w:trPr>
          <w:cantSplit/>
        </w:trPr>
        <w:tc>
          <w:tcPr>
            <w:tcW w:type="dxa" w:w="1805"/>
            <w:vAlign w:val="center"/>
          </w:tcPr>
          <w:p>
            <w:pPr>
              <w:spacing w:before="0" w:after="40" w:line="240" w:lineRule="auto"/>
            </w:pPr>
            <w:r>
              <w:rPr>
                <w:rFonts w:ascii="Arial" w:hAnsi="Arial"/>
                <w:b w:val="0"/>
                <w:color w:val="000000"/>
                <w:sz w:val="22"/>
              </w:rPr>
              <w:t>M04</w:t>
            </w:r>
          </w:p>
        </w:tc>
        <w:tc>
          <w:tcPr>
            <w:tcW w:type="dxa" w:w="1805"/>
            <w:vAlign w:val="center"/>
          </w:tcPr>
          <w:p>
            <w:pPr>
              <w:spacing w:before="0" w:after="40" w:line="240" w:lineRule="auto"/>
            </w:pPr>
            <w:r>
              <w:rPr>
                <w:rFonts w:ascii="Arial" w:hAnsi="Arial"/>
                <w:b w:val="0"/>
                <w:color w:val="000000"/>
                <w:sz w:val="22"/>
              </w:rPr>
              <w:t>B</w:t>
            </w:r>
          </w:p>
        </w:tc>
        <w:tc>
          <w:tcPr>
            <w:tcW w:type="dxa" w:w="1805"/>
            <w:vAlign w:val="center"/>
          </w:tcPr>
          <w:p>
            <w:pPr>
              <w:spacing w:before="0" w:after="40" w:line="240" w:lineRule="auto"/>
            </w:pPr>
            <w:r>
              <w:rPr>
                <w:rFonts w:ascii="Arial" w:hAnsi="Arial"/>
                <w:b w:val="0"/>
                <w:color w:val="000000"/>
                <w:sz w:val="22"/>
              </w:rPr>
              <w:t>Juzuk 7</w:t>
            </w:r>
          </w:p>
        </w:tc>
        <w:tc>
          <w:tcPr>
            <w:tcW w:type="dxa" w:w="1805"/>
            <w:vAlign w:val="center"/>
          </w:tcPr>
          <w:p>
            <w:pPr>
              <w:spacing w:before="0" w:after="40" w:line="240" w:lineRule="auto"/>
            </w:pPr>
            <w:r>
              <w:rPr>
                <w:rFonts w:ascii="Arial" w:hAnsi="Arial"/>
                <w:b w:val="0"/>
                <w:color w:val="000000"/>
                <w:sz w:val="22"/>
              </w:rPr>
              <w:t>Tasmik berkala mengikut kemampuan</w:t>
            </w:r>
          </w:p>
        </w:tc>
        <w:tc>
          <w:tcPr>
            <w:tcW w:type="dxa" w:w="1805"/>
            <w:vAlign w:val="center"/>
          </w:tcPr>
          <w:p>
            <w:pPr>
              <w:spacing w:before="0" w:after="40" w:line="240" w:lineRule="auto"/>
            </w:pPr>
            <w:r>
              <w:rPr>
                <w:rFonts w:ascii="Arial" w:hAnsi="Arial"/>
                <w:b w:val="0"/>
                <w:color w:val="000000"/>
                <w:sz w:val="22"/>
              </w:rPr>
              <w:t>Sedang dibimbing</w:t>
            </w:r>
          </w:p>
        </w:tc>
      </w:tr>
      <w:tr>
        <w:trPr>
          <w:cantSplit/>
        </w:trPr>
        <w:tc>
          <w:tcPr>
            <w:tcW w:type="dxa" w:w="1805"/>
            <w:vAlign w:val="center"/>
          </w:tcPr>
          <w:p>
            <w:pPr>
              <w:spacing w:before="0" w:after="40" w:line="240" w:lineRule="auto"/>
            </w:pPr>
            <w:r>
              <w:rPr>
                <w:rFonts w:ascii="Arial" w:hAnsi="Arial"/>
                <w:b w:val="0"/>
                <w:color w:val="000000"/>
                <w:sz w:val="22"/>
              </w:rPr>
              <w:t>M05</w:t>
            </w:r>
          </w:p>
        </w:tc>
        <w:tc>
          <w:tcPr>
            <w:tcW w:type="dxa" w:w="1805"/>
            <w:vAlign w:val="center"/>
          </w:tcPr>
          <w:p>
            <w:pPr>
              <w:spacing w:before="0" w:after="40" w:line="240" w:lineRule="auto"/>
            </w:pPr>
            <w:r>
              <w:rPr>
                <w:rFonts w:ascii="Arial" w:hAnsi="Arial"/>
                <w:b w:val="0"/>
                <w:color w:val="000000"/>
                <w:sz w:val="22"/>
              </w:rPr>
              <w:t>C</w:t>
            </w:r>
          </w:p>
        </w:tc>
        <w:tc>
          <w:tcPr>
            <w:tcW w:type="dxa" w:w="1805"/>
            <w:vAlign w:val="center"/>
          </w:tcPr>
          <w:p>
            <w:pPr>
              <w:spacing w:before="0" w:after="40" w:line="240" w:lineRule="auto"/>
            </w:pPr>
            <w:r>
              <w:rPr>
                <w:rFonts w:ascii="Arial" w:hAnsi="Arial"/>
                <w:b w:val="0"/>
                <w:color w:val="000000"/>
                <w:sz w:val="22"/>
              </w:rPr>
              <w:t>Iqra’ 5</w:t>
            </w:r>
          </w:p>
        </w:tc>
        <w:tc>
          <w:tcPr>
            <w:tcW w:type="dxa" w:w="1805"/>
            <w:vAlign w:val="center"/>
          </w:tcPr>
          <w:p>
            <w:pPr>
              <w:spacing w:before="0" w:after="40" w:line="240" w:lineRule="auto"/>
            </w:pPr>
            <w:r>
              <w:rPr>
                <w:rFonts w:ascii="Arial" w:hAnsi="Arial"/>
                <w:b w:val="0"/>
                <w:color w:val="000000"/>
                <w:sz w:val="22"/>
              </w:rPr>
              <w:t>Kenal pasti bacaan tepat &amp; maju bertahap</w:t>
            </w:r>
          </w:p>
        </w:tc>
        <w:tc>
          <w:tcPr>
            <w:tcW w:type="dxa" w:w="1805"/>
            <w:vAlign w:val="center"/>
          </w:tcPr>
          <w:p>
            <w:pPr>
              <w:spacing w:before="0" w:after="40" w:line="240" w:lineRule="auto"/>
            </w:pPr>
            <w:r>
              <w:rPr>
                <w:rFonts w:ascii="Arial" w:hAnsi="Arial"/>
                <w:b w:val="0"/>
                <w:color w:val="000000"/>
                <w:sz w:val="22"/>
              </w:rPr>
              <w:t>Intervensi</w:t>
            </w:r>
          </w:p>
        </w:tc>
      </w:tr>
      <w:tr>
        <w:trPr>
          <w:cantSplit/>
        </w:trPr>
        <w:tc>
          <w:tcPr>
            <w:tcW w:type="dxa" w:w="1805"/>
            <w:vAlign w:val="center"/>
          </w:tcPr>
          <w:p>
            <w:pPr>
              <w:spacing w:before="0" w:after="40" w:line="240" w:lineRule="auto"/>
            </w:pPr>
            <w:r>
              <w:rPr>
                <w:rFonts w:ascii="Arial" w:hAnsi="Arial"/>
                <w:b w:val="0"/>
                <w:color w:val="000000"/>
                <w:sz w:val="22"/>
              </w:rPr>
              <w:t>M06</w:t>
            </w:r>
          </w:p>
        </w:tc>
        <w:tc>
          <w:tcPr>
            <w:tcW w:type="dxa" w:w="1805"/>
            <w:vAlign w:val="center"/>
          </w:tcPr>
          <w:p>
            <w:pPr>
              <w:spacing w:before="0" w:after="40" w:line="240" w:lineRule="auto"/>
            </w:pPr>
            <w:r>
              <w:rPr>
                <w:rFonts w:ascii="Arial" w:hAnsi="Arial"/>
                <w:b w:val="0"/>
                <w:color w:val="000000"/>
                <w:sz w:val="22"/>
              </w:rPr>
              <w:t>C</w:t>
            </w:r>
          </w:p>
        </w:tc>
        <w:tc>
          <w:tcPr>
            <w:tcW w:type="dxa" w:w="1805"/>
            <w:vAlign w:val="center"/>
          </w:tcPr>
          <w:p>
            <w:pPr>
              <w:spacing w:before="0" w:after="40" w:line="240" w:lineRule="auto"/>
            </w:pPr>
            <w:r>
              <w:rPr>
                <w:rFonts w:ascii="Arial" w:hAnsi="Arial"/>
                <w:b w:val="0"/>
                <w:color w:val="000000"/>
                <w:sz w:val="22"/>
              </w:rPr>
              <w:t>Iqra’ 3</w:t>
            </w:r>
          </w:p>
        </w:tc>
        <w:tc>
          <w:tcPr>
            <w:tcW w:type="dxa" w:w="1805"/>
            <w:vAlign w:val="center"/>
          </w:tcPr>
          <w:p>
            <w:pPr>
              <w:spacing w:before="0" w:after="40" w:line="240" w:lineRule="auto"/>
            </w:pPr>
            <w:r>
              <w:rPr>
                <w:rFonts w:ascii="Arial" w:hAnsi="Arial"/>
                <w:b w:val="0"/>
                <w:color w:val="000000"/>
                <w:sz w:val="22"/>
              </w:rPr>
              <w:t>Pengukuhan huruf &amp; baris</w:t>
            </w:r>
          </w:p>
        </w:tc>
        <w:tc>
          <w:tcPr>
            <w:tcW w:type="dxa" w:w="1805"/>
            <w:vAlign w:val="center"/>
          </w:tcPr>
          <w:p>
            <w:pPr>
              <w:spacing w:before="0" w:after="40" w:line="240" w:lineRule="auto"/>
            </w:pPr>
            <w:r>
              <w:rPr>
                <w:rFonts w:ascii="Arial" w:hAnsi="Arial"/>
                <w:b w:val="0"/>
                <w:color w:val="000000"/>
                <w:sz w:val="22"/>
              </w:rPr>
              <w:t>Intervensi</w:t>
            </w:r>
          </w:p>
        </w:tc>
      </w:tr>
    </w:tbl>
    <w:p>
      <w:r>
        <w:rPr>
          <w:rFonts w:ascii="Arial" w:hAnsi="Arial" w:eastAsia="Arial"/>
          <w:color w:val="000000"/>
          <w:sz w:val="22"/>
        </w:rPr>
        <w:t>Pengesahan khatam: catat tarikh bacaan terakhir yang telah disemak, guru penyemak dan status “Khatam selepas semakan individu” hanya jika keseluruhan 30 juzuk telah dilengkapkan. Murid yang telah khatam sebelum program direkod sebagai “Telah khatam sebelum program”, bukan pencapaian baharu.</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Kem Literasi al-Quran Tahun 6: Misi Khatam al-Quran 2027</dc:title>
  <dc:subject>Contoh lengkap 17 bahagian, Arial 11, hitam, spacing 1.5, saringan bacaan dan intervensi khatam</dc:subject>
  <dc:creator>Kertaskerja.com</dc:creator>
  <cp:keywords>kertas kerja kem literasi al-quran tahun 6, program khatam al-quran, tasmik, intervensi al-quran</cp:keywords>
  <dc:description>generated by python-docx</dc:description>
  <cp:lastModifiedBy/>
  <cp:revision>1</cp:revision>
  <dcterms:created xsi:type="dcterms:W3CDTF">2013-12-23T23:15:00Z</dcterms:created>
  <dcterms:modified xsi:type="dcterms:W3CDTF">2013-12-23T23:15:00Z</dcterms:modified>
  <cp:category/>
</cp:coreProperties>
</file>