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cs="Arial"/>
          <w:color w:val="000000"/>
          <w:sz w:val="22"/>
        </w:rPr>
        <w:t>KERTAS KERJA</w:t>
      </w:r>
    </w:p>
    <w:p>
      <w:pPr>
        <w:pStyle w:val="KKCover"/>
        <w:spacing w:after="300" w:line="360" w:lineRule="auto"/>
      </w:pPr>
      <w:r>
        <w:rPr>
          <w:rFonts w:ascii="Arial" w:hAnsi="Arial" w:cs="Arial"/>
          <w:color w:val="000000"/>
          <w:sz w:val="22"/>
        </w:rPr>
        <w:t>KURSUS PENGURUSAN JENAZAH</w:t>
        <w:br/>
        <w:t>PERINGKAT SEKOLAH 2027</w:t>
      </w:r>
    </w:p>
    <w:p>
      <w:pPr>
        <w:pStyle w:val="KKCover"/>
        <w:spacing w:after="1400" w:line="360" w:lineRule="auto"/>
      </w:pPr>
      <w:r>
        <w:rPr>
          <w:rFonts w:ascii="Arial" w:hAnsi="Arial" w:cs="Arial"/>
          <w:color w:val="000000"/>
          <w:sz w:val="22"/>
        </w:rPr>
        <w:t>SEKOLAH KEBANGSAAN SERI HARMONI (SEKOLAH REKAAN)</w:t>
      </w:r>
    </w:p>
    <w:p>
      <w:pPr>
        <w:pStyle w:val="KKCoverField"/>
        <w:spacing w:line="360" w:lineRule="auto"/>
        <w:ind w:left="227"/>
      </w:pPr>
      <w:r>
        <w:rPr>
          <w:rFonts w:ascii="Arial" w:hAnsi="Arial" w:cs="Arial"/>
          <w:color w:val="000000"/>
          <w:sz w:val="22"/>
        </w:rPr>
        <w:t>Tarikh program: Khamis, 17 Jun 2027 (tarikh contoh)</w:t>
      </w:r>
    </w:p>
    <w:p>
      <w:pPr>
        <w:pStyle w:val="KKCoverField"/>
        <w:spacing w:line="360" w:lineRule="auto"/>
        <w:ind w:left="227"/>
      </w:pPr>
      <w:r>
        <w:rPr>
          <w:rFonts w:ascii="Arial" w:hAnsi="Arial" w:cs="Arial"/>
          <w:color w:val="000000"/>
          <w:sz w:val="22"/>
        </w:rPr>
        <w:t>Masa: 8.00 pagi hingga 1.00 tengah hari</w:t>
      </w:r>
    </w:p>
    <w:p>
      <w:pPr>
        <w:pStyle w:val="KKCoverField"/>
        <w:spacing w:line="360" w:lineRule="auto"/>
        <w:ind w:left="227"/>
      </w:pPr>
      <w:r>
        <w:rPr>
          <w:rFonts w:ascii="Arial" w:hAnsi="Arial" w:cs="Arial"/>
          <w:color w:val="000000"/>
          <w:sz w:val="22"/>
        </w:rPr>
        <w:t>Tempat: Surau dan Bilik Pendidikan Islam SK Seri Harmoni</w:t>
      </w:r>
    </w:p>
    <w:p>
      <w:pPr>
        <w:pStyle w:val="KKCoverField"/>
        <w:spacing w:line="360" w:lineRule="auto"/>
        <w:ind w:left="227"/>
      </w:pPr>
      <w:r>
        <w:rPr>
          <w:rFonts w:ascii="Arial" w:hAnsi="Arial" w:cs="Arial"/>
          <w:color w:val="000000"/>
          <w:sz w:val="22"/>
        </w:rPr>
        <w:t>Penganjur: Panitia Pendidikan Islam SK Seri Harmoni</w:t>
      </w:r>
    </w:p>
    <w:p>
      <w:pPr>
        <w:pStyle w:val="KKCoverField"/>
        <w:spacing w:line="360" w:lineRule="auto"/>
        <w:ind w:left="227"/>
      </w:pPr>
      <w:r>
        <w:rPr>
          <w:rFonts w:ascii="Arial" w:hAnsi="Arial" w:cs="Arial"/>
          <w:color w:val="000000"/>
          <w:sz w:val="22"/>
        </w:rPr>
        <w:t>Disediakan oleh: Setiausaha Kursus Pengurusan Jenazah</w:t>
      </w:r>
    </w:p>
    <w:p>
      <w:pPr>
        <w:pStyle w:val="KKCoverField"/>
        <w:spacing w:line="360" w:lineRule="auto"/>
        <w:ind w:left="227"/>
      </w:pPr>
      <w:r>
        <w:rPr>
          <w:rFonts w:ascii="Arial" w:hAnsi="Arial" w:cs="Arial"/>
          <w:color w:val="000000"/>
          <w:sz w:val="22"/>
        </w:rPr>
        <w:t>Dikemukakan kepada: Guru Besar SK Seri Harmoni</w:t>
      </w:r>
    </w:p>
    <w:p>
      <w:pPr>
        <w:pStyle w:val="KKCoverField"/>
        <w:spacing w:line="360" w:lineRule="auto"/>
        <w:ind w:left="227"/>
      </w:pPr>
      <w:r>
        <w:rPr>
          <w:rFonts w:ascii="Arial" w:hAnsi="Arial" w:cs="Arial"/>
          <w:color w:val="000000"/>
          <w:sz w:val="22"/>
        </w:rPr>
        <w:t>Tarikh penyediaan: 11 Oktober 2026</w:t>
      </w:r>
    </w:p>
    <w:p>
      <w:pPr>
        <w:pStyle w:val="KKGuidance"/>
        <w:spacing w:before="900" w:line="360" w:lineRule="auto"/>
      </w:pPr>
      <w:r>
        <w:rPr>
          <w:rFonts w:ascii="Arial" w:hAnsi="Arial" w:cs="Arial"/>
          <w:color w:val="000000"/>
          <w:sz w:val="22"/>
        </w:rPr>
        <w:t>DOKUMEN CONTOH — BELUM MENDAPAT KELULUSAN</w:t>
      </w:r>
    </w:p>
    <w:p>
      <w:pPr>
        <w:pStyle w:val="KKGuidance"/>
        <w:spacing w:line="360" w:lineRule="auto"/>
      </w:pPr>
      <w:r>
        <w:rPr>
          <w:rFonts w:ascii="Arial" w:hAnsi="Arial" w:cs="Arial"/>
          <w:color w:val="000000"/>
          <w:sz w:val="22"/>
        </w:rPr>
        <w:t>Semua nama sekolah, tarikh, kadar bayaran, bilangan peserta dan sumber kewangan ialah maklumat contoh. Kursus ini menggunakan MODEL LATIHAN sahaja; bukan jenazah sebenar. Pelaksanaan tertakluk kepada kelulusan pentadbir, kesesuaian murid serta semakan pengajar agama berkelayakan.</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cs="Arial"/>
          <w:color w:val="000000"/>
          <w:sz w:val="22"/>
        </w:rPr>
        <w:t>TUJUAN</w:t>
      </w:r>
    </w:p>
    <w:p>
      <w:pPr>
        <w:spacing w:line="360" w:lineRule="auto"/>
      </w:pPr>
      <w:r>
        <w:rPr>
          <w:rFonts w:ascii="Arial" w:hAnsi="Arial" w:cs="Arial"/>
          <w:color w:val="000000"/>
          <w:sz w:val="22"/>
        </w:rPr>
        <w:t>Kertas kerja ini dikemukakan untuk memohon pertimbangan dan kelulusan Guru Besar SK Seri Harmoni bagi melaksanakan Kursus Pengurusan Jenazah Peringkat Sekolah 2027. Cadangan perbelanjaan ialah RM3,200.00 dan belum diluluskan. Kursus bertujuan memberikan pendedahan teori serta amali asas yang beradab tentang tanggungjawab fardu kifayah.</w:t>
      </w:r>
    </w:p>
    <w:p>
      <w:pPr>
        <w:pStyle w:val="Heading1"/>
        <w:keepNext/>
        <w:keepLines/>
        <w:numPr>
          <w:ilvl w:val="0"/>
          <w:numId w:val="10"/>
        </w:numPr>
        <w:spacing w:line="360" w:lineRule="auto"/>
      </w:pPr>
      <w:r>
        <w:rPr>
          <w:rFonts w:ascii="Arial" w:hAnsi="Arial" w:cs="Arial"/>
          <w:color w:val="000000"/>
          <w:sz w:val="22"/>
        </w:rPr>
        <w:t>PENGENALAN</w:t>
      </w:r>
    </w:p>
    <w:p>
      <w:pPr>
        <w:spacing w:line="360" w:lineRule="auto"/>
      </w:pPr>
      <w:r>
        <w:rPr>
          <w:rFonts w:ascii="Arial" w:hAnsi="Arial" w:cs="Arial"/>
          <w:color w:val="000000"/>
          <w:sz w:val="22"/>
        </w:rPr>
        <w:t>Pengurusan jenazah umat Islam meliputi memandikan, mengkafankan, menyolatkan dan mengebumikan jenazah sebagai tuntutan fardu kifayah. Bagi murid Tahun 5 dan 6, pengenalan melalui simulasi yang sesuai dapat meningkatkan pengetahuan, empati dan sikap hormat. Kursus ini bukan latihan kelayakan profesional, dan pelaksanaan amali dipandu oleh tenaga pengajar lelaki dan wanita yang sesuai serta Guru Pendidikan Islam (GPI). Rujukan isi pengajaran: Jabatan Mufti Wilayah Persekutuan dan pihak berkuasa agama berkaitan.</w:t>
      </w:r>
    </w:p>
    <w:p>
      <w:pPr>
        <w:pStyle w:val="Heading1"/>
        <w:keepNext/>
        <w:keepLines/>
        <w:numPr>
          <w:ilvl w:val="0"/>
          <w:numId w:val="10"/>
        </w:numPr>
        <w:spacing w:line="360" w:lineRule="auto"/>
      </w:pPr>
      <w:r>
        <w:rPr>
          <w:rFonts w:ascii="Arial" w:hAnsi="Arial" w:cs="Arial"/>
          <w:color w:val="000000"/>
          <w:sz w:val="22"/>
        </w:rPr>
        <w:t>OBJEKTIF PROGRAM</w:t>
      </w:r>
    </w:p>
    <w:p>
      <w:pPr>
        <w:spacing w:line="360" w:lineRule="auto"/>
      </w:pPr>
      <w:r>
        <w:rPr>
          <w:rFonts w:ascii="Arial" w:hAnsi="Arial" w:cs="Arial"/>
          <w:color w:val="000000"/>
          <w:sz w:val="22"/>
        </w:rPr>
        <w:t>Pada akhir kursus, peserta diharapkan dapat:</w:t>
      </w:r>
    </w:p>
    <w:p>
      <w:pPr>
        <w:pStyle w:val="KKNumberedDetail"/>
        <w:numPr>
          <w:ilvl w:val="1"/>
          <w:numId w:val="10"/>
        </w:numPr>
        <w:spacing w:line="360" w:lineRule="auto"/>
      </w:pPr>
      <w:r>
        <w:rPr>
          <w:rFonts w:ascii="Arial" w:hAnsi="Arial" w:cs="Arial"/>
          <w:color w:val="000000"/>
          <w:sz w:val="22"/>
        </w:rPr>
        <w:t>Menyatakan empat peringkat utama pengurusan jenazah dan memahami maksud fardu kifayah dengan tepat; sasaran sekurang-kurangnya 70% peserta mencapai 7/10 dalam penilaian pasca.</w:t>
      </w:r>
    </w:p>
    <w:p>
      <w:pPr>
        <w:pStyle w:val="KKNumberedDetail"/>
        <w:numPr>
          <w:ilvl w:val="1"/>
          <w:numId w:val="10"/>
        </w:numPr>
        <w:spacing w:line="360" w:lineRule="auto"/>
      </w:pPr>
      <w:r>
        <w:rPr>
          <w:rFonts w:ascii="Arial" w:hAnsi="Arial" w:cs="Arial"/>
          <w:color w:val="000000"/>
          <w:sz w:val="22"/>
        </w:rPr>
        <w:t>Menunjukkan kefahaman asas melalui amali menggunakan model latihan dan kain simulasi secara sopan di bawah bimbingan pengajar; pencapaian direkod dengan rubrik pemerhatian.</w:t>
      </w:r>
    </w:p>
    <w:p>
      <w:pPr>
        <w:pStyle w:val="KKNumberedDetail"/>
        <w:numPr>
          <w:ilvl w:val="1"/>
          <w:numId w:val="10"/>
        </w:numPr>
        <w:spacing w:line="360" w:lineRule="auto"/>
      </w:pPr>
      <w:r>
        <w:rPr>
          <w:rFonts w:ascii="Arial" w:hAnsi="Arial" w:cs="Arial"/>
          <w:color w:val="000000"/>
          <w:sz w:val="22"/>
        </w:rPr>
        <w:t>Mempraktikkan adab menghormati jenazah, menjaga aurat, bertanya dengan berhemah dan memahami kepentingan merujuk ahli yang mahir apabila berlaku kematian sebenar.</w:t>
      </w:r>
    </w:p>
    <w:p>
      <w:pPr>
        <w:pStyle w:val="Heading1"/>
        <w:keepNext/>
        <w:keepLines/>
        <w:numPr>
          <w:ilvl w:val="0"/>
          <w:numId w:val="10"/>
        </w:numPr>
        <w:spacing w:line="360" w:lineRule="auto"/>
      </w:pPr>
      <w:r>
        <w:rPr>
          <w:rFonts w:ascii="Arial" w:hAnsi="Arial" w:cs="Arial"/>
          <w:color w:val="000000"/>
          <w:sz w:val="22"/>
        </w:rPr>
        <w:t>MATLAMAT PROGRAM</w:t>
      </w:r>
    </w:p>
    <w:p>
      <w:pPr>
        <w:spacing w:line="360" w:lineRule="auto"/>
      </w:pPr>
      <w:r>
        <w:rPr>
          <w:rFonts w:ascii="Arial" w:hAnsi="Arial" w:cs="Arial"/>
          <w:color w:val="000000"/>
          <w:sz w:val="22"/>
        </w:rPr>
        <w:t>Melahirkan murid yang memahami tuntutan fardu kifayah dan menghormati maruah insan, di samping menyokong penghayatan Pendidikan Islam melalui pengalaman pembelajaran berstruktur yang selamat serta sesuai dengan usia peserta.</w:t>
      </w:r>
    </w:p>
    <w:p>
      <w:pPr>
        <w:pStyle w:val="Heading1"/>
        <w:keepNext/>
        <w:keepLines/>
        <w:numPr>
          <w:ilvl w:val="0"/>
          <w:numId w:val="10"/>
        </w:numPr>
        <w:spacing w:line="360" w:lineRule="auto"/>
      </w:pPr>
      <w:r>
        <w:rPr>
          <w:rFonts w:ascii="Arial" w:hAnsi="Arial" w:cs="Arial"/>
          <w:color w:val="000000"/>
          <w:sz w:val="22"/>
        </w:rPr>
        <w:t>SASARAN DAN MAKLUMAT PESERTA</w:t>
      </w:r>
    </w:p>
    <w:p>
      <w:pPr>
        <w:spacing w:line="360" w:lineRule="auto"/>
      </w:pPr>
      <w:r>
        <w:rPr>
          <w:rFonts w:ascii="Arial" w:hAnsi="Arial" w:cs="Arial"/>
          <w:color w:val="000000"/>
          <w:sz w:val="22"/>
        </w:rPr>
        <w:t>Sasaran ialah 80 murid Islam Tahun 5 dan 6, 10 guru/urusetia serta dua tenaga pengajar jemputan (seorang lelaki dan seorang wanita, tertakluk ketersediaan). Jumlah keseluruhan contoh ialah 92 orang. Murid dibahagi kepada empat kumpulan berpengawasan untuk aktiviti amali dan penilaian. Penyertaan hendaklah dimaklumkan kepada penjaga, dan murid yang mengalami ketidakselesaan emosi dibenarkan menyertai alternatif pembelajaran yang sesuai.</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Kategori</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Bilangan</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Catatan</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Murid Islam Tahun 5</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40</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Peserta murid</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Murid Islam Tahun 6</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40</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Peserta murid</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Guru dan urusetia</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10</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GPI dan guru sokongan</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Tenaga pengajar jemputan</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2</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Lelaki dan wanita (cadangan)</w:t>
            </w:r>
          </w:p>
        </w:tc>
      </w:tr>
      <w:tr>
        <w:trPr>
          <w:cantSplit/>
        </w:trPr>
        <w:tc>
          <w:tcPr>
            <w:tcW w:type="dxa" w:w="3969"/>
            <w:vAlign w:val="center"/>
          </w:tcPr>
          <w:p>
            <w:pPr>
              <w:spacing w:line="360" w:lineRule="auto" w:before="0" w:after="0"/>
              <w:jc w:val="left"/>
            </w:pPr>
            <w:r>
              <w:rPr>
                <w:rFonts w:ascii="Arial" w:hAnsi="Arial"/>
                <w:b/>
                <w:color w:val="000000"/>
                <w:sz w:val="22"/>
              </w:rPr>
              <w:t>JUMLAH</w:t>
            </w:r>
          </w:p>
        </w:tc>
        <w:tc>
          <w:tcPr>
            <w:tcW w:type="dxa" w:w="1304"/>
            <w:vAlign w:val="center"/>
          </w:tcPr>
          <w:p>
            <w:pPr>
              <w:spacing w:line="360" w:lineRule="auto" w:before="0" w:after="0"/>
              <w:jc w:val="left"/>
            </w:pPr>
            <w:r>
              <w:rPr>
                <w:rFonts w:ascii="Arial" w:hAnsi="Arial"/>
                <w:b w:val="0"/>
                <w:color w:val="000000"/>
                <w:sz w:val="22"/>
              </w:rPr>
              <w:t>92</w:t>
            </w:r>
          </w:p>
        </w:tc>
        <w:tc>
          <w:tcPr>
            <w:tcW w:type="dxa" w:w="3912"/>
            <w:vAlign w:val="center"/>
          </w:tcPr>
          <w:p>
            <w:pPr>
              <w:spacing w:line="360" w:lineRule="auto" w:before="0" w:after="0"/>
              <w:jc w:val="left"/>
            </w:pPr>
            <w:r>
              <w:rPr>
                <w:rFonts w:ascii="Arial" w:hAnsi="Arial"/>
                <w:b/>
                <w:color w:val="000000"/>
                <w:sz w:val="22"/>
              </w:rPr>
              <w:t>Jumlah orang dalam kursus</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cs="Arial"/>
          <w:color w:val="000000"/>
          <w:sz w:val="22"/>
        </w:rPr>
        <w:t>TEMPOH MASA</w:t>
      </w:r>
    </w:p>
    <w:p>
      <w:pPr>
        <w:pStyle w:val="KKCoverField"/>
        <w:spacing w:line="360" w:lineRule="auto"/>
      </w:pPr>
      <w:r>
        <w:rPr>
          <w:rFonts w:ascii="Arial" w:hAnsi="Arial" w:cs="Arial"/>
          <w:color w:val="000000"/>
          <w:sz w:val="22"/>
        </w:rPr>
        <w:t>Tarikh: Khamis, 17 Jun 2027 (tarikh cadangan; bukan tarikh rasmi KPM).</w:t>
      </w:r>
    </w:p>
    <w:p>
      <w:pPr>
        <w:pStyle w:val="KKCoverField"/>
        <w:spacing w:line="360" w:lineRule="auto"/>
      </w:pPr>
      <w:r>
        <w:rPr>
          <w:rFonts w:ascii="Arial" w:hAnsi="Arial" w:cs="Arial"/>
          <w:color w:val="000000"/>
          <w:sz w:val="22"/>
        </w:rPr>
        <w:t>Hari: Khamis, satu sesi kursus teori dan amali.</w:t>
      </w:r>
    </w:p>
    <w:p>
      <w:pPr>
        <w:pStyle w:val="KKCoverField"/>
        <w:spacing w:line="360" w:lineRule="auto"/>
      </w:pPr>
      <w:r>
        <w:rPr>
          <w:rFonts w:ascii="Arial" w:hAnsi="Arial" w:cs="Arial"/>
          <w:color w:val="000000"/>
          <w:sz w:val="22"/>
        </w:rPr>
        <w:t>Masa peserta: 8.00 pagi hingga 1.00 tengah hari.</w:t>
      </w:r>
    </w:p>
    <w:p>
      <w:pPr>
        <w:pStyle w:val="KKCoverField"/>
        <w:spacing w:line="360" w:lineRule="auto"/>
      </w:pPr>
      <w:r>
        <w:rPr>
          <w:rFonts w:ascii="Arial" w:hAnsi="Arial" w:cs="Arial"/>
          <w:color w:val="000000"/>
          <w:sz w:val="22"/>
        </w:rPr>
        <w:t>Masa persediaan petugas: 7.00–8.00 pagi; semakan kebersihan selepas program: 1.00–1.30 tengah hari.</w:t>
      </w:r>
    </w:p>
    <w:p>
      <w:pPr>
        <w:pStyle w:val="Heading1"/>
        <w:keepNext/>
        <w:keepLines/>
        <w:numPr>
          <w:ilvl w:val="0"/>
          <w:numId w:val="10"/>
        </w:numPr>
        <w:spacing w:line="360" w:lineRule="auto"/>
      </w:pPr>
      <w:r>
        <w:rPr>
          <w:rFonts w:ascii="Arial" w:hAnsi="Arial" w:cs="Arial"/>
          <w:color w:val="000000"/>
          <w:sz w:val="22"/>
        </w:rPr>
        <w:t>TEMPAT</w:t>
      </w:r>
    </w:p>
    <w:p>
      <w:pPr>
        <w:spacing w:line="360" w:lineRule="auto"/>
      </w:pPr>
      <w:r>
        <w:rPr>
          <w:rFonts w:ascii="Arial" w:hAnsi="Arial" w:cs="Arial"/>
          <w:color w:val="000000"/>
          <w:sz w:val="22"/>
        </w:rPr>
        <w:t>Surau sekolah digunakan untuk ceramah dan latihan solat jenazah, manakala Bilik Pendidikan Islam digunakan untuk demonstrasi pengurusan jenazah menggunakan model tertutup. Ruang lelaki dan wanita diasingkan apabila bersesuaian, dan partisyen disediakan untuk menjaga keselesaan, adab serta privasi latihan. Aktiviti boleh dipindahkan ke bilik darjah bersesuaian selepas penilaian ruang dan kelulusan pentadbir.</w:t>
      </w:r>
    </w:p>
    <w:p>
      <w:pPr>
        <w:pStyle w:val="Heading1"/>
        <w:keepNext/>
        <w:keepLines/>
        <w:numPr>
          <w:ilvl w:val="0"/>
          <w:numId w:val="10"/>
        </w:numPr>
        <w:spacing w:line="360" w:lineRule="auto"/>
      </w:pPr>
      <w:r>
        <w:rPr>
          <w:rFonts w:ascii="Arial" w:hAnsi="Arial" w:cs="Arial"/>
          <w:color w:val="000000"/>
          <w:sz w:val="22"/>
        </w:rPr>
        <w:t>ANJURAN</w:t>
      </w:r>
    </w:p>
    <w:p>
      <w:pPr>
        <w:pStyle w:val="KKCoverField"/>
        <w:spacing w:line="360" w:lineRule="auto"/>
      </w:pPr>
      <w:r>
        <w:rPr>
          <w:rFonts w:ascii="Arial" w:hAnsi="Arial" w:cs="Arial"/>
          <w:color w:val="000000"/>
          <w:sz w:val="22"/>
        </w:rPr>
        <w:t>Penganjur: Panitia Pendidikan Islam SK Seri Harmoni.</w:t>
      </w:r>
    </w:p>
    <w:p>
      <w:pPr>
        <w:pStyle w:val="KKCoverField"/>
        <w:spacing w:line="360" w:lineRule="auto"/>
      </w:pPr>
      <w:r>
        <w:rPr>
          <w:rFonts w:ascii="Arial" w:hAnsi="Arial" w:cs="Arial"/>
          <w:color w:val="000000"/>
          <w:sz w:val="22"/>
        </w:rPr>
        <w:t>Kerjasama cadangan: Unit Kurikulum, Unit Hal Ehwal Murid, PIBG dan wakil masjid kariah (tertakluk persetujuan).</w:t>
      </w:r>
    </w:p>
    <w:p>
      <w:pPr>
        <w:pStyle w:val="Heading1"/>
        <w:keepNext/>
        <w:keepLines/>
        <w:numPr>
          <w:ilvl w:val="0"/>
          <w:numId w:val="10"/>
        </w:numPr>
        <w:spacing w:line="360" w:lineRule="auto"/>
      </w:pPr>
      <w:r>
        <w:rPr>
          <w:rFonts w:ascii="Arial" w:hAnsi="Arial" w:cs="Arial"/>
          <w:color w:val="000000"/>
          <w:sz w:val="22"/>
        </w:rPr>
        <w:t>TETAMU KEHORMAT, PERASMI ATAU PENCERAMAH</w:t>
      </w:r>
    </w:p>
    <w:p>
      <w:pPr>
        <w:spacing w:line="360" w:lineRule="auto"/>
      </w:pPr>
      <w:r>
        <w:rPr>
          <w:rFonts w:ascii="Arial" w:hAnsi="Arial" w:cs="Arial"/>
          <w:color w:val="000000"/>
          <w:sz w:val="22"/>
        </w:rPr>
        <w:t>Dua fasilitator pengurusan jenazah yang berpengalaman dicadangkan: seorang pengajar lelaki dan seorang pengajar wanita daripada institusi agama atau pasukan pengurusan jenazah setempat. Nama, kelayakan dan keizinan jemputan akan disahkan sebelum penyertaan murid. Guru Besar dicadangkan memberi ucapan penutup ringkas.</w:t>
      </w:r>
    </w:p>
    <w:p>
      <w:pPr>
        <w:spacing w:line="360" w:lineRule="auto"/>
      </w:pPr>
      <w:r>
        <w:rPr>
          <w:rFonts w:ascii="Arial" w:hAnsi="Arial" w:cs="Arial"/>
          <w:color w:val="000000"/>
          <w:sz w:val="22"/>
        </w:rPr>
        <w:t>Status jemputan: Belum disahkan. Kandungan berkaitan fiqh, adab dan amali wajib disemak dengan tenaga pengajar berkelayakan serta disesuaikan kepada amalan pihak berkuasa agama negeri.</w:t>
      </w:r>
    </w:p>
    <w:p>
      <w:pPr>
        <w:pStyle w:val="Heading1"/>
        <w:keepNext/>
        <w:keepLines/>
        <w:numPr>
          <w:ilvl w:val="0"/>
          <w:numId w:val="10"/>
        </w:numPr>
        <w:spacing w:line="360" w:lineRule="auto"/>
      </w:pPr>
      <w:r>
        <w:rPr>
          <w:rFonts w:ascii="Arial" w:hAnsi="Arial" w:cs="Arial"/>
          <w:color w:val="000000"/>
          <w:sz w:val="22"/>
        </w:rPr>
        <w:t>PELAKSANAAN DAN TENTATIF PROGRAM</w:t>
      </w:r>
    </w:p>
    <w:p>
      <w:pPr>
        <w:spacing w:line="360" w:lineRule="auto"/>
      </w:pPr>
      <w:r>
        <w:rPr>
          <w:rFonts w:ascii="Arial" w:hAnsi="Arial" w:cs="Arial"/>
          <w:color w:val="000000"/>
          <w:sz w:val="22"/>
        </w:rPr>
        <w:t>Kursus sehari dilaksanakan melalui ceramah ringkas, demonstrasi dan amali terkawal. Empat kumpulan kecil dibimbing guru; pembelajaran memandikan dan mengkafankan menggunakan model latihan yang sentiasa ditutup dengan tertib, bukannya tubuh murid atau jenazah sebenar. Amali solat jenazah dilaksanakan sebagai simulasi bacaan dan susunan solat dengan bimbingan GPI. Penerangan pengebumian adalah teori, bukan menggali kubur atau menjalankan prosedur sebenar. Penilaian merangkumi ujian pra/pasca 10 soalan dan rubrik adab/kemahiran.</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Masa</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Aktiviti / Pengisian</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Petugas</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7.00–8.00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Persediaan bahan, pemeriksaan ruang latihan dan peralatan</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Urusetia / teknikal</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8.00–8.20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Pendaftaran, taklimat kesejahteraan dan ujian pra</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Urusetia / guru pengiring</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8.20–8.40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Pengenalan fardu kifayah dan empat peringkat pengurusan jenazah</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Penceramah / GPI</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8.40–9.15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Teori: adab, menjaga aurat, amanah dan tatacara asas</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Penceramah jemputan</w:t>
            </w:r>
          </w:p>
        </w:tc>
      </w:tr>
      <w:tr>
        <w:trPr>
          <w:cantSplit/>
        </w:trPr>
        <w:tc>
          <w:tcPr>
            <w:tcW w:type="dxa" w:w="1871"/>
            <w:vAlign w:val="center"/>
          </w:tcPr>
          <w:p>
            <w:pPr>
              <w:spacing w:line="360" w:lineRule="auto" w:before="0" w:after="0"/>
              <w:jc w:val="left"/>
            </w:pPr>
            <w:r>
              <w:rPr>
                <w:rFonts w:ascii="Arial" w:hAnsi="Arial"/>
                <w:b w:val="0"/>
                <w:color w:val="000000"/>
                <w:sz w:val="22"/>
              </w:rPr>
              <w:t>9.15–9.55 pagi</w:t>
            </w:r>
          </w:p>
        </w:tc>
        <w:tc>
          <w:tcPr>
            <w:tcW w:type="dxa" w:w="5329"/>
            <w:vAlign w:val="center"/>
          </w:tcPr>
          <w:p>
            <w:pPr>
              <w:spacing w:line="360" w:lineRule="auto" w:before="0" w:after="0"/>
              <w:jc w:val="left"/>
            </w:pPr>
            <w:r>
              <w:rPr>
                <w:rFonts w:ascii="Arial" w:hAnsi="Arial"/>
                <w:b w:val="0"/>
                <w:color w:val="000000"/>
                <w:sz w:val="22"/>
              </w:rPr>
              <w:t>Demonstrasi memandikan jenazah menggunakan model tertutup</w:t>
            </w:r>
          </w:p>
        </w:tc>
        <w:tc>
          <w:tcPr>
            <w:tcW w:type="dxa" w:w="1984"/>
            <w:vAlign w:val="center"/>
          </w:tcPr>
          <w:p>
            <w:pPr>
              <w:spacing w:line="360" w:lineRule="auto" w:before="0" w:after="0"/>
              <w:jc w:val="left"/>
            </w:pPr>
            <w:r>
              <w:rPr>
                <w:rFonts w:ascii="Arial" w:hAnsi="Arial"/>
                <w:b w:val="0"/>
                <w:color w:val="000000"/>
                <w:sz w:val="22"/>
              </w:rPr>
              <w:t>Tenaga pengajar / GPI</w:t>
            </w:r>
          </w:p>
        </w:tc>
      </w:tr>
      <w:tr>
        <w:trPr>
          <w:cantSplit/>
        </w:trPr>
        <w:tc>
          <w:tcPr>
            <w:tcW w:type="dxa" w:w="1871"/>
            <w:vAlign w:val="center"/>
          </w:tcPr>
          <w:p>
            <w:pPr>
              <w:spacing w:line="360" w:lineRule="auto" w:before="0" w:after="0"/>
              <w:jc w:val="left"/>
            </w:pPr>
            <w:r>
              <w:rPr>
                <w:rFonts w:ascii="Arial" w:hAnsi="Arial"/>
                <w:b w:val="0"/>
                <w:color w:val="000000"/>
                <w:sz w:val="22"/>
              </w:rPr>
              <w:t>9.55–10.15 pagi</w:t>
            </w:r>
          </w:p>
        </w:tc>
        <w:tc>
          <w:tcPr>
            <w:tcW w:type="dxa" w:w="5329"/>
            <w:vAlign w:val="center"/>
          </w:tcPr>
          <w:p>
            <w:pPr>
              <w:spacing w:line="360" w:lineRule="auto" w:before="0" w:after="0"/>
              <w:jc w:val="left"/>
            </w:pPr>
            <w:r>
              <w:rPr>
                <w:rFonts w:ascii="Arial" w:hAnsi="Arial"/>
                <w:b w:val="0"/>
                <w:color w:val="000000"/>
                <w:sz w:val="22"/>
              </w:rPr>
              <w:t>Rehat dan minum pagi</w:t>
            </w:r>
          </w:p>
        </w:tc>
        <w:tc>
          <w:tcPr>
            <w:tcW w:type="dxa" w:w="1984"/>
            <w:vAlign w:val="center"/>
          </w:tcPr>
          <w:p>
            <w:pPr>
              <w:spacing w:line="360" w:lineRule="auto" w:before="0" w:after="0"/>
              <w:jc w:val="left"/>
            </w:pPr>
            <w:r>
              <w:rPr>
                <w:rFonts w:ascii="Arial" w:hAnsi="Arial"/>
                <w:b w:val="0"/>
                <w:color w:val="000000"/>
                <w:sz w:val="22"/>
              </w:rPr>
              <w:t>Kebajikan</w:t>
            </w:r>
          </w:p>
        </w:tc>
      </w:tr>
      <w:tr>
        <w:trPr>
          <w:cantSplit/>
        </w:trPr>
        <w:tc>
          <w:tcPr>
            <w:tcW w:type="dxa" w:w="1871"/>
            <w:vAlign w:val="center"/>
          </w:tcPr>
          <w:p>
            <w:pPr>
              <w:spacing w:line="360" w:lineRule="auto" w:before="0" w:after="0"/>
              <w:jc w:val="left"/>
            </w:pPr>
            <w:r>
              <w:rPr>
                <w:rFonts w:ascii="Arial" w:hAnsi="Arial"/>
                <w:b w:val="0"/>
                <w:color w:val="000000"/>
                <w:sz w:val="22"/>
              </w:rPr>
              <w:t>10.15–11.00 pagi</w:t>
            </w:r>
          </w:p>
        </w:tc>
        <w:tc>
          <w:tcPr>
            <w:tcW w:type="dxa" w:w="5329"/>
            <w:vAlign w:val="center"/>
          </w:tcPr>
          <w:p>
            <w:pPr>
              <w:spacing w:line="360" w:lineRule="auto" w:before="0" w:after="0"/>
              <w:jc w:val="left"/>
            </w:pPr>
            <w:r>
              <w:rPr>
                <w:rFonts w:ascii="Arial" w:hAnsi="Arial"/>
                <w:b w:val="0"/>
                <w:color w:val="000000"/>
                <w:sz w:val="22"/>
              </w:rPr>
              <w:t>Amali mengkafankan menggunakan kain latihan dan model</w:t>
            </w:r>
          </w:p>
        </w:tc>
        <w:tc>
          <w:tcPr>
            <w:tcW w:type="dxa" w:w="1984"/>
            <w:vAlign w:val="center"/>
          </w:tcPr>
          <w:p>
            <w:pPr>
              <w:spacing w:line="360" w:lineRule="auto" w:before="0" w:after="0"/>
              <w:jc w:val="left"/>
            </w:pPr>
            <w:r>
              <w:rPr>
                <w:rFonts w:ascii="Arial" w:hAnsi="Arial"/>
                <w:b w:val="0"/>
                <w:color w:val="000000"/>
                <w:sz w:val="22"/>
              </w:rPr>
              <w:t>Fasilitator / guru kumpulan</w:t>
            </w:r>
          </w:p>
        </w:tc>
      </w:tr>
      <w:tr>
        <w:trPr>
          <w:cantSplit/>
        </w:trPr>
        <w:tc>
          <w:tcPr>
            <w:tcW w:type="dxa" w:w="1871"/>
            <w:vAlign w:val="center"/>
          </w:tcPr>
          <w:p>
            <w:pPr>
              <w:spacing w:line="360" w:lineRule="auto" w:before="0" w:after="0"/>
              <w:jc w:val="left"/>
            </w:pPr>
            <w:r>
              <w:rPr>
                <w:rFonts w:ascii="Arial" w:hAnsi="Arial"/>
                <w:b w:val="0"/>
                <w:color w:val="000000"/>
                <w:sz w:val="22"/>
              </w:rPr>
              <w:t>11.00–11.40 pagi</w:t>
            </w:r>
          </w:p>
        </w:tc>
        <w:tc>
          <w:tcPr>
            <w:tcW w:type="dxa" w:w="5329"/>
            <w:vAlign w:val="center"/>
          </w:tcPr>
          <w:p>
            <w:pPr>
              <w:spacing w:line="360" w:lineRule="auto" w:before="0" w:after="0"/>
              <w:jc w:val="left"/>
            </w:pPr>
            <w:r>
              <w:rPr>
                <w:rFonts w:ascii="Arial" w:hAnsi="Arial"/>
                <w:b w:val="0"/>
                <w:color w:val="000000"/>
                <w:sz w:val="22"/>
              </w:rPr>
              <w:t>Latihan solat jenazah berpandu tanpa jenazah sebenar</w:t>
            </w:r>
          </w:p>
        </w:tc>
        <w:tc>
          <w:tcPr>
            <w:tcW w:type="dxa" w:w="1984"/>
            <w:vAlign w:val="center"/>
          </w:tcPr>
          <w:p>
            <w:pPr>
              <w:spacing w:line="360" w:lineRule="auto" w:before="0" w:after="0"/>
              <w:jc w:val="left"/>
            </w:pPr>
            <w:r>
              <w:rPr>
                <w:rFonts w:ascii="Arial" w:hAnsi="Arial"/>
                <w:b w:val="0"/>
                <w:color w:val="000000"/>
                <w:sz w:val="22"/>
              </w:rPr>
              <w:t>GPI / tenaga pengajar</w:t>
            </w:r>
          </w:p>
        </w:tc>
      </w:tr>
      <w:tr>
        <w:trPr>
          <w:cantSplit/>
        </w:trPr>
        <w:tc>
          <w:tcPr>
            <w:tcW w:type="dxa" w:w="1871"/>
            <w:vAlign w:val="center"/>
          </w:tcPr>
          <w:p>
            <w:pPr>
              <w:spacing w:line="360" w:lineRule="auto" w:before="0" w:after="0"/>
              <w:jc w:val="left"/>
            </w:pPr>
            <w:r>
              <w:rPr>
                <w:rFonts w:ascii="Arial" w:hAnsi="Arial"/>
                <w:b w:val="0"/>
                <w:color w:val="000000"/>
                <w:sz w:val="22"/>
              </w:rPr>
              <w:t>11.40 pagi–12.00 tengah hari</w:t>
            </w:r>
          </w:p>
        </w:tc>
        <w:tc>
          <w:tcPr>
            <w:tcW w:type="dxa" w:w="5329"/>
            <w:vAlign w:val="center"/>
          </w:tcPr>
          <w:p>
            <w:pPr>
              <w:spacing w:line="360" w:lineRule="auto" w:before="0" w:after="0"/>
              <w:jc w:val="left"/>
            </w:pPr>
            <w:r>
              <w:rPr>
                <w:rFonts w:ascii="Arial" w:hAnsi="Arial"/>
                <w:b w:val="0"/>
                <w:color w:val="000000"/>
                <w:sz w:val="22"/>
              </w:rPr>
              <w:t>Penerangan ringkas prosedur pengebumian serta peranan masjid kariah</w:t>
            </w:r>
          </w:p>
        </w:tc>
        <w:tc>
          <w:tcPr>
            <w:tcW w:type="dxa" w:w="1984"/>
            <w:vAlign w:val="center"/>
          </w:tcPr>
          <w:p>
            <w:pPr>
              <w:spacing w:line="360" w:lineRule="auto" w:before="0" w:after="0"/>
              <w:jc w:val="left"/>
            </w:pPr>
            <w:r>
              <w:rPr>
                <w:rFonts w:ascii="Arial" w:hAnsi="Arial"/>
                <w:b w:val="0"/>
                <w:color w:val="000000"/>
                <w:sz w:val="22"/>
              </w:rPr>
              <w:t>Penceramah</w:t>
            </w:r>
          </w:p>
        </w:tc>
      </w:tr>
      <w:tr>
        <w:trPr>
          <w:cantSplit/>
        </w:trPr>
        <w:tc>
          <w:tcPr>
            <w:tcW w:type="dxa" w:w="1871"/>
            <w:vAlign w:val="center"/>
          </w:tcPr>
          <w:p>
            <w:pPr>
              <w:spacing w:line="360" w:lineRule="auto" w:before="0" w:after="0"/>
              <w:jc w:val="left"/>
            </w:pPr>
            <w:r>
              <w:rPr>
                <w:rFonts w:ascii="Arial" w:hAnsi="Arial"/>
                <w:b w:val="0"/>
                <w:color w:val="000000"/>
                <w:sz w:val="22"/>
              </w:rPr>
              <w:t>12.00–12.20 tengah hari</w:t>
            </w:r>
          </w:p>
        </w:tc>
        <w:tc>
          <w:tcPr>
            <w:tcW w:type="dxa" w:w="5329"/>
            <w:vAlign w:val="center"/>
          </w:tcPr>
          <w:p>
            <w:pPr>
              <w:spacing w:line="360" w:lineRule="auto" w:before="0" w:after="0"/>
              <w:jc w:val="left"/>
            </w:pPr>
            <w:r>
              <w:rPr>
                <w:rFonts w:ascii="Arial" w:hAnsi="Arial"/>
                <w:b w:val="0"/>
                <w:color w:val="000000"/>
                <w:sz w:val="22"/>
              </w:rPr>
              <w:t>Ujian pasca, rubrik amali dan refleksi murid</w:t>
            </w:r>
          </w:p>
        </w:tc>
        <w:tc>
          <w:tcPr>
            <w:tcW w:type="dxa" w:w="1984"/>
            <w:vAlign w:val="center"/>
          </w:tcPr>
          <w:p>
            <w:pPr>
              <w:spacing w:line="360" w:lineRule="auto" w:before="0" w:after="0"/>
              <w:jc w:val="left"/>
            </w:pPr>
            <w:r>
              <w:rPr>
                <w:rFonts w:ascii="Arial" w:hAnsi="Arial"/>
                <w:b w:val="0"/>
                <w:color w:val="000000"/>
                <w:sz w:val="22"/>
              </w:rPr>
              <w:t>AJK penilaian</w:t>
            </w:r>
          </w:p>
        </w:tc>
      </w:tr>
      <w:tr>
        <w:trPr>
          <w:cantSplit/>
        </w:trPr>
        <w:tc>
          <w:tcPr>
            <w:tcW w:type="dxa" w:w="1871"/>
            <w:vAlign w:val="center"/>
          </w:tcPr>
          <w:p>
            <w:pPr>
              <w:spacing w:line="360" w:lineRule="auto" w:before="0" w:after="0"/>
              <w:jc w:val="left"/>
            </w:pPr>
            <w:r>
              <w:rPr>
                <w:rFonts w:ascii="Arial" w:hAnsi="Arial"/>
                <w:b w:val="0"/>
                <w:color w:val="000000"/>
                <w:sz w:val="22"/>
              </w:rPr>
              <w:t>12.20–12.40 tengah hari</w:t>
            </w:r>
          </w:p>
        </w:tc>
        <w:tc>
          <w:tcPr>
            <w:tcW w:type="dxa" w:w="5329"/>
            <w:vAlign w:val="center"/>
          </w:tcPr>
          <w:p>
            <w:pPr>
              <w:spacing w:line="360" w:lineRule="auto" w:before="0" w:after="0"/>
              <w:jc w:val="left"/>
            </w:pPr>
            <w:r>
              <w:rPr>
                <w:rFonts w:ascii="Arial" w:hAnsi="Arial"/>
                <w:b w:val="0"/>
                <w:color w:val="000000"/>
                <w:sz w:val="22"/>
              </w:rPr>
              <w:t>Penghargaan, rumusan dan penutup</w:t>
            </w:r>
          </w:p>
        </w:tc>
        <w:tc>
          <w:tcPr>
            <w:tcW w:type="dxa" w:w="1984"/>
            <w:vAlign w:val="center"/>
          </w:tcPr>
          <w:p>
            <w:pPr>
              <w:spacing w:line="360" w:lineRule="auto" w:before="0" w:after="0"/>
              <w:jc w:val="left"/>
            </w:pPr>
            <w:r>
              <w:rPr>
                <w:rFonts w:ascii="Arial" w:hAnsi="Arial"/>
                <w:b w:val="0"/>
                <w:color w:val="000000"/>
                <w:sz w:val="22"/>
              </w:rPr>
              <w:t>Protokol / urusetia</w:t>
            </w:r>
          </w:p>
        </w:tc>
      </w:tr>
      <w:tr>
        <w:trPr>
          <w:cantSplit/>
        </w:trPr>
        <w:tc>
          <w:tcPr>
            <w:tcW w:type="dxa" w:w="1871"/>
            <w:vAlign w:val="center"/>
          </w:tcPr>
          <w:p>
            <w:pPr>
              <w:spacing w:line="360" w:lineRule="auto" w:before="0" w:after="0"/>
              <w:jc w:val="left"/>
            </w:pPr>
            <w:r>
              <w:rPr>
                <w:rFonts w:ascii="Arial" w:hAnsi="Arial"/>
                <w:b w:val="0"/>
                <w:color w:val="000000"/>
                <w:sz w:val="22"/>
              </w:rPr>
              <w:t>12.40–1.00 tengah hari</w:t>
            </w:r>
          </w:p>
        </w:tc>
        <w:tc>
          <w:tcPr>
            <w:tcW w:type="dxa" w:w="5329"/>
            <w:vAlign w:val="center"/>
          </w:tcPr>
          <w:p>
            <w:pPr>
              <w:spacing w:line="360" w:lineRule="auto" w:before="0" w:after="0"/>
              <w:jc w:val="left"/>
            </w:pPr>
            <w:r>
              <w:rPr>
                <w:rFonts w:ascii="Arial" w:hAnsi="Arial"/>
                <w:b w:val="0"/>
                <w:color w:val="000000"/>
                <w:sz w:val="22"/>
              </w:rPr>
              <w:t>Makan tengah hari dan bersurai secara terkawal</w:t>
            </w:r>
          </w:p>
        </w:tc>
        <w:tc>
          <w:tcPr>
            <w:tcW w:type="dxa" w:w="1984"/>
            <w:vAlign w:val="center"/>
          </w:tcPr>
          <w:p>
            <w:pPr>
              <w:spacing w:line="360" w:lineRule="auto" w:before="0" w:after="0"/>
              <w:jc w:val="left"/>
            </w:pPr>
            <w:r>
              <w:rPr>
                <w:rFonts w:ascii="Arial" w:hAnsi="Arial"/>
                <w:b w:val="0"/>
                <w:color w:val="000000"/>
                <w:sz w:val="22"/>
              </w:rPr>
              <w:t>Kebajikan / guru pengiring</w:t>
            </w:r>
          </w:p>
        </w:tc>
      </w:tr>
    </w:tbl>
    <w:p>
      <w:pPr>
        <w:spacing w:after="20" w:before="0" w:line="360" w:lineRule="auto"/>
      </w:pPr>
      <w:r>
        <w:rPr>
          <w:rFonts w:ascii="Arial" w:hAnsi="Arial" w:cs="Arial"/>
          <w:color w:val="000000"/>
          <w:sz w:val="22"/>
        </w:rPr>
        <w:t>Pengurusan risiko dan kebajikan: Gunakan bahan simulasi yang bersih, pastikan laluan selamat, kawal gambar/video murid dan sediakan pilihan pembelajaran alternatif bagi peserta yang kurang selesa. Tiada sentuhan pada tubuh murid sebagai model, tiada penggunaan jenazah sebenar, dan tiada simulasi grafik yang menakutkan. Urusan sebenar jenazah hanya dikendalikan oleh pihak berautoriti atau yang mahir.</w:t>
      </w:r>
    </w:p>
    <w:p>
      <w:pPr>
        <w:pStyle w:val="Heading1"/>
        <w:keepNext/>
        <w:keepLines/>
        <w:numPr>
          <w:ilvl w:val="0"/>
          <w:numId w:val="10"/>
        </w:numPr>
        <w:spacing w:line="360" w:lineRule="auto"/>
      </w:pPr>
      <w:r>
        <w:rPr>
          <w:rFonts w:ascii="Arial" w:hAnsi="Arial" w:cs="Arial"/>
          <w:color w:val="000000"/>
          <w:sz w:val="22"/>
        </w:rPr>
        <w:t>JAWATANKUASA INDUK</w:t>
      </w:r>
    </w:p>
    <w:p>
      <w:pPr>
        <w:pStyle w:val="KKCoverField"/>
        <w:spacing w:line="360" w:lineRule="auto"/>
      </w:pPr>
      <w:r>
        <w:rPr>
          <w:rFonts w:ascii="Arial" w:hAnsi="Arial" w:cs="Arial"/>
          <w:color w:val="000000"/>
          <w:sz w:val="22"/>
        </w:rPr>
        <w:t>Penasihat: Guru Besar SK Seri Harmoni.</w:t>
      </w:r>
    </w:p>
    <w:p>
      <w:pPr>
        <w:pStyle w:val="KKCoverField"/>
        <w:spacing w:line="360" w:lineRule="auto"/>
      </w:pPr>
      <w:r>
        <w:rPr>
          <w:rFonts w:ascii="Arial" w:hAnsi="Arial" w:cs="Arial"/>
          <w:color w:val="000000"/>
          <w:sz w:val="22"/>
        </w:rPr>
        <w:t>Pengerusi: Penolong Kanan Pentadbiran.</w:t>
      </w:r>
    </w:p>
    <w:p>
      <w:pPr>
        <w:pStyle w:val="KKCoverField"/>
        <w:spacing w:line="360" w:lineRule="auto"/>
      </w:pPr>
      <w:r>
        <w:rPr>
          <w:rFonts w:ascii="Arial" w:hAnsi="Arial" w:cs="Arial"/>
          <w:color w:val="000000"/>
          <w:sz w:val="22"/>
        </w:rPr>
        <w:t>Timbalan Pengerusi: Penolong Kanan Hal Ehwal Murid.</w:t>
      </w:r>
    </w:p>
    <w:p>
      <w:pPr>
        <w:pStyle w:val="KKCoverField"/>
        <w:spacing w:line="360" w:lineRule="auto"/>
      </w:pPr>
      <w:r>
        <w:rPr>
          <w:rFonts w:ascii="Arial" w:hAnsi="Arial" w:cs="Arial"/>
          <w:color w:val="000000"/>
          <w:sz w:val="22"/>
        </w:rPr>
        <w:t>Naib Pengerusi: Penolong Kanan Kokurikulum.</w:t>
      </w:r>
    </w:p>
    <w:p>
      <w:pPr>
        <w:pStyle w:val="KKCoverField"/>
        <w:spacing w:line="360" w:lineRule="auto"/>
      </w:pPr>
      <w:r>
        <w:rPr>
          <w:rFonts w:ascii="Arial" w:hAnsi="Arial" w:cs="Arial"/>
          <w:color w:val="000000"/>
          <w:sz w:val="22"/>
        </w:rPr>
        <w:t>Setiausaha: Ketua Panitia Pendidikan Islam.</w:t>
      </w:r>
    </w:p>
    <w:p>
      <w:pPr>
        <w:pStyle w:val="KKCoverField"/>
        <w:spacing w:line="360" w:lineRule="auto"/>
      </w:pPr>
      <w:r>
        <w:rPr>
          <w:rFonts w:ascii="Arial" w:hAnsi="Arial" w:cs="Arial"/>
          <w:color w:val="000000"/>
          <w:sz w:val="22"/>
        </w:rPr>
        <w:t>Penolong Setiausaha: Guru Pendidikan Islam dilantik.</w:t>
      </w:r>
    </w:p>
    <w:p>
      <w:pPr>
        <w:pStyle w:val="KKCoverField"/>
        <w:spacing w:line="360" w:lineRule="auto"/>
      </w:pPr>
      <w:r>
        <w:rPr>
          <w:rFonts w:ascii="Arial" w:hAnsi="Arial" w:cs="Arial"/>
          <w:color w:val="000000"/>
          <w:sz w:val="22"/>
        </w:rPr>
        <w:t>Bendahari: Bendahari Program dilantik.</w:t>
      </w:r>
    </w:p>
    <w:p>
      <w:pPr>
        <w:pStyle w:val="Heading1"/>
        <w:keepNext/>
        <w:keepLines/>
        <w:pageBreakBefore/>
        <w:numPr>
          <w:ilvl w:val="0"/>
          <w:numId w:val="10"/>
        </w:numPr>
        <w:spacing w:line="360" w:lineRule="auto"/>
      </w:pPr>
      <w:r>
        <w:rPr>
          <w:rFonts w:ascii="Arial" w:hAnsi="Arial" w:cs="Arial"/>
          <w:color w:val="000000"/>
          <w:sz w:val="22"/>
        </w:rPr>
        <w:t>JAWATANKUASA PELAKSANA</w:t>
      </w:r>
    </w:p>
    <w:p>
      <w:pPr>
        <w:spacing w:line="360" w:lineRule="auto"/>
      </w:pPr>
      <w:r>
        <w:rPr>
          <w:rFonts w:ascii="Arial" w:hAnsi="Arial" w:cs="Arial"/>
          <w:color w:val="000000"/>
          <w:sz w:val="22"/>
        </w:rPr>
        <w:t>Jawatankuasa bertanggungjawab menyediakan bahan yang bersih, memastikan pengajar berkelayakan dan sesuai, mengurus disiplin serta kesejahteraan murid, menjalankan penilaian dan merekod kewangan. Pelantikan nama sebenar perlu dibuat sebelum kursus dijalankan.</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Unit / AJK</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Penyelaras</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Tugas utama</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Penyelaras program</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Ketua Panitia Pendidikan Islam</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Jadual, penyelarasan modul dan laporan</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Urusetia dan peserta</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Guru Pendidikan Islam dilantik</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Surat makluman, kehadiran dan pengelompokan</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Penceramah dan modul</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GPI / penyelaras jemputan</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Semak kepakaran, kandungan fiqh dan bahan latihan</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Bimbingan lelaki</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Tenaga pengajar lelaki dan guru lelaki</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Demonstrasi latihan sesuai dan pengawasan</w:t>
            </w:r>
          </w:p>
        </w:tc>
      </w:tr>
      <w:tr>
        <w:trPr>
          <w:cantSplit/>
        </w:trPr>
        <w:tc>
          <w:tcPr>
            <w:tcW w:type="dxa" w:w="2721"/>
            <w:vAlign w:val="center"/>
          </w:tcPr>
          <w:p>
            <w:pPr>
              <w:spacing w:line="360" w:lineRule="auto" w:before="0" w:after="0"/>
              <w:jc w:val="left"/>
            </w:pPr>
            <w:r>
              <w:rPr>
                <w:rFonts w:ascii="Arial" w:hAnsi="Arial"/>
                <w:b w:val="0"/>
                <w:color w:val="000000"/>
                <w:sz w:val="22"/>
              </w:rPr>
              <w:t>Bimbingan perempuan</w:t>
            </w:r>
          </w:p>
        </w:tc>
        <w:tc>
          <w:tcPr>
            <w:tcW w:type="dxa" w:w="2778"/>
            <w:vAlign w:val="center"/>
          </w:tcPr>
          <w:p>
            <w:pPr>
              <w:spacing w:line="360" w:lineRule="auto" w:before="0" w:after="0"/>
              <w:jc w:val="left"/>
            </w:pPr>
            <w:r>
              <w:rPr>
                <w:rFonts w:ascii="Arial" w:hAnsi="Arial"/>
                <w:b w:val="0"/>
                <w:color w:val="000000"/>
                <w:sz w:val="22"/>
              </w:rPr>
              <w:t>Tenaga pengajar wanita dan guru wanita</w:t>
            </w:r>
          </w:p>
        </w:tc>
        <w:tc>
          <w:tcPr>
            <w:tcW w:type="dxa" w:w="3685"/>
            <w:vAlign w:val="center"/>
          </w:tcPr>
          <w:p>
            <w:pPr>
              <w:spacing w:line="360" w:lineRule="auto" w:before="0" w:after="0"/>
              <w:jc w:val="left"/>
            </w:pPr>
            <w:r>
              <w:rPr>
                <w:rFonts w:ascii="Arial" w:hAnsi="Arial"/>
                <w:b w:val="0"/>
                <w:color w:val="000000"/>
                <w:sz w:val="22"/>
              </w:rPr>
              <w:t>Demonstrasi latihan sesuai dan pengawasan</w:t>
            </w:r>
          </w:p>
        </w:tc>
      </w:tr>
      <w:tr>
        <w:trPr>
          <w:cantSplit/>
        </w:trPr>
        <w:tc>
          <w:tcPr>
            <w:tcW w:type="dxa" w:w="2721"/>
            <w:vAlign w:val="center"/>
          </w:tcPr>
          <w:p>
            <w:pPr>
              <w:spacing w:line="360" w:lineRule="auto" w:before="0" w:after="0"/>
              <w:jc w:val="left"/>
            </w:pPr>
            <w:r>
              <w:rPr>
                <w:rFonts w:ascii="Arial" w:hAnsi="Arial"/>
                <w:b w:val="0"/>
                <w:color w:val="000000"/>
                <w:sz w:val="22"/>
              </w:rPr>
              <w:t>Peralatan amali</w:t>
            </w:r>
          </w:p>
        </w:tc>
        <w:tc>
          <w:tcPr>
            <w:tcW w:type="dxa" w:w="2778"/>
            <w:vAlign w:val="center"/>
          </w:tcPr>
          <w:p>
            <w:pPr>
              <w:spacing w:line="360" w:lineRule="auto" w:before="0" w:after="0"/>
              <w:jc w:val="left"/>
            </w:pPr>
            <w:r>
              <w:rPr>
                <w:rFonts w:ascii="Arial" w:hAnsi="Arial"/>
                <w:b w:val="0"/>
                <w:color w:val="000000"/>
                <w:sz w:val="22"/>
              </w:rPr>
              <w:t>AJK teknikal</w:t>
            </w:r>
          </w:p>
        </w:tc>
        <w:tc>
          <w:tcPr>
            <w:tcW w:type="dxa" w:w="3685"/>
            <w:vAlign w:val="center"/>
          </w:tcPr>
          <w:p>
            <w:pPr>
              <w:spacing w:line="360" w:lineRule="auto" w:before="0" w:after="0"/>
              <w:jc w:val="left"/>
            </w:pPr>
            <w:r>
              <w:rPr>
                <w:rFonts w:ascii="Arial" w:hAnsi="Arial"/>
                <w:b w:val="0"/>
                <w:color w:val="000000"/>
                <w:sz w:val="22"/>
              </w:rPr>
              <w:t>Model latihan, kain, tikar, partisyen dan inventori</w:t>
            </w:r>
          </w:p>
        </w:tc>
      </w:tr>
      <w:tr>
        <w:trPr>
          <w:cantSplit/>
        </w:trPr>
        <w:tc>
          <w:tcPr>
            <w:tcW w:type="dxa" w:w="2721"/>
            <w:vAlign w:val="center"/>
          </w:tcPr>
          <w:p>
            <w:pPr>
              <w:spacing w:line="360" w:lineRule="auto" w:before="0" w:after="0"/>
              <w:jc w:val="left"/>
            </w:pPr>
            <w:r>
              <w:rPr>
                <w:rFonts w:ascii="Arial" w:hAnsi="Arial"/>
                <w:b w:val="0"/>
                <w:color w:val="000000"/>
                <w:sz w:val="22"/>
              </w:rPr>
              <w:t>Disiplin dan kebajikan</w:t>
            </w:r>
          </w:p>
        </w:tc>
        <w:tc>
          <w:tcPr>
            <w:tcW w:type="dxa" w:w="2778"/>
            <w:vAlign w:val="center"/>
          </w:tcPr>
          <w:p>
            <w:pPr>
              <w:spacing w:line="360" w:lineRule="auto" w:before="0" w:after="0"/>
              <w:jc w:val="left"/>
            </w:pPr>
            <w:r>
              <w:rPr>
                <w:rFonts w:ascii="Arial" w:hAnsi="Arial"/>
                <w:b w:val="0"/>
                <w:color w:val="000000"/>
                <w:sz w:val="22"/>
              </w:rPr>
              <w:t>Unit HEM / guru pengiring</w:t>
            </w:r>
          </w:p>
        </w:tc>
        <w:tc>
          <w:tcPr>
            <w:tcW w:type="dxa" w:w="3685"/>
            <w:vAlign w:val="center"/>
          </w:tcPr>
          <w:p>
            <w:pPr>
              <w:spacing w:line="360" w:lineRule="auto" w:before="0" w:after="0"/>
              <w:jc w:val="left"/>
            </w:pPr>
            <w:r>
              <w:rPr>
                <w:rFonts w:ascii="Arial" w:hAnsi="Arial"/>
                <w:b w:val="0"/>
                <w:color w:val="000000"/>
                <w:sz w:val="22"/>
              </w:rPr>
              <w:t>Keselesaan, ruang rehat dan sokongan emosi</w:t>
            </w:r>
          </w:p>
        </w:tc>
      </w:tr>
      <w:tr>
        <w:trPr>
          <w:cantSplit/>
        </w:trPr>
        <w:tc>
          <w:tcPr>
            <w:tcW w:type="dxa" w:w="2721"/>
            <w:vAlign w:val="center"/>
          </w:tcPr>
          <w:p>
            <w:pPr>
              <w:spacing w:line="360" w:lineRule="auto" w:before="0" w:after="0"/>
              <w:jc w:val="left"/>
            </w:pPr>
            <w:r>
              <w:rPr>
                <w:rFonts w:ascii="Arial" w:hAnsi="Arial"/>
                <w:b w:val="0"/>
                <w:color w:val="000000"/>
                <w:sz w:val="22"/>
              </w:rPr>
              <w:t>Kewangan dan makanan</w:t>
            </w:r>
          </w:p>
        </w:tc>
        <w:tc>
          <w:tcPr>
            <w:tcW w:type="dxa" w:w="2778"/>
            <w:vAlign w:val="center"/>
          </w:tcPr>
          <w:p>
            <w:pPr>
              <w:spacing w:line="360" w:lineRule="auto" w:before="0" w:after="0"/>
              <w:jc w:val="left"/>
            </w:pPr>
            <w:r>
              <w:rPr>
                <w:rFonts w:ascii="Arial" w:hAnsi="Arial"/>
                <w:b w:val="0"/>
                <w:color w:val="000000"/>
                <w:sz w:val="22"/>
              </w:rPr>
              <w:t>Bendahari program</w:t>
            </w:r>
          </w:p>
        </w:tc>
        <w:tc>
          <w:tcPr>
            <w:tcW w:type="dxa" w:w="3685"/>
            <w:vAlign w:val="center"/>
          </w:tcPr>
          <w:p>
            <w:pPr>
              <w:spacing w:line="360" w:lineRule="auto" w:before="0" w:after="0"/>
              <w:jc w:val="left"/>
            </w:pPr>
            <w:r>
              <w:rPr>
                <w:rFonts w:ascii="Arial" w:hAnsi="Arial"/>
                <w:b w:val="0"/>
                <w:color w:val="000000"/>
                <w:sz w:val="22"/>
              </w:rPr>
              <w:t>Rekod perolehan, resit, makan dan minum</w:t>
            </w:r>
          </w:p>
        </w:tc>
      </w:tr>
      <w:tr>
        <w:trPr>
          <w:cantSplit/>
        </w:trPr>
        <w:tc>
          <w:tcPr>
            <w:tcW w:type="dxa" w:w="2721"/>
            <w:vAlign w:val="center"/>
          </w:tcPr>
          <w:p>
            <w:pPr>
              <w:spacing w:line="360" w:lineRule="auto" w:before="0" w:after="0"/>
              <w:jc w:val="left"/>
            </w:pPr>
            <w:r>
              <w:rPr>
                <w:rFonts w:ascii="Arial" w:hAnsi="Arial"/>
                <w:b w:val="0"/>
                <w:color w:val="000000"/>
                <w:sz w:val="22"/>
              </w:rPr>
              <w:t>Penilaian dan dokumentasi</w:t>
            </w:r>
          </w:p>
        </w:tc>
        <w:tc>
          <w:tcPr>
            <w:tcW w:type="dxa" w:w="2778"/>
            <w:vAlign w:val="center"/>
          </w:tcPr>
          <w:p>
            <w:pPr>
              <w:spacing w:line="360" w:lineRule="auto" w:before="0" w:after="0"/>
              <w:jc w:val="left"/>
            </w:pPr>
            <w:r>
              <w:rPr>
                <w:rFonts w:ascii="Arial" w:hAnsi="Arial"/>
                <w:b w:val="0"/>
                <w:color w:val="000000"/>
                <w:sz w:val="22"/>
              </w:rPr>
              <w:t>GPI / guru kelas</w:t>
            </w:r>
          </w:p>
        </w:tc>
        <w:tc>
          <w:tcPr>
            <w:tcW w:type="dxa" w:w="3685"/>
            <w:vAlign w:val="center"/>
          </w:tcPr>
          <w:p>
            <w:pPr>
              <w:spacing w:line="360" w:lineRule="auto" w:before="0" w:after="0"/>
              <w:jc w:val="left"/>
            </w:pPr>
            <w:r>
              <w:rPr>
                <w:rFonts w:ascii="Arial" w:hAnsi="Arial"/>
                <w:b w:val="0"/>
                <w:color w:val="000000"/>
                <w:sz w:val="22"/>
              </w:rPr>
              <w:t>Ujian pra/pasca, rubrik dan foto berizin</w:t>
            </w:r>
          </w:p>
        </w:tc>
      </w:tr>
      <w:tr>
        <w:trPr>
          <w:cantSplit/>
        </w:trPr>
        <w:tc>
          <w:tcPr>
            <w:tcW w:type="dxa" w:w="2721"/>
            <w:vAlign w:val="center"/>
          </w:tcPr>
          <w:p>
            <w:pPr>
              <w:spacing w:line="360" w:lineRule="auto" w:before="0" w:after="0"/>
              <w:jc w:val="left"/>
            </w:pPr>
            <w:r>
              <w:rPr>
                <w:rFonts w:ascii="Arial" w:hAnsi="Arial"/>
                <w:b w:val="0"/>
                <w:color w:val="000000"/>
                <w:sz w:val="22"/>
              </w:rPr>
              <w:t>Keselamatan</w:t>
            </w:r>
          </w:p>
        </w:tc>
        <w:tc>
          <w:tcPr>
            <w:tcW w:type="dxa" w:w="2778"/>
            <w:vAlign w:val="center"/>
          </w:tcPr>
          <w:p>
            <w:pPr>
              <w:spacing w:line="360" w:lineRule="auto" w:before="0" w:after="0"/>
              <w:jc w:val="left"/>
            </w:pPr>
            <w:r>
              <w:rPr>
                <w:rFonts w:ascii="Arial" w:hAnsi="Arial"/>
                <w:b w:val="0"/>
                <w:color w:val="000000"/>
                <w:sz w:val="22"/>
              </w:rPr>
              <w:t>Guru keselamatan dilantik</w:t>
            </w:r>
          </w:p>
        </w:tc>
        <w:tc>
          <w:tcPr>
            <w:tcW w:type="dxa" w:w="3685"/>
            <w:vAlign w:val="center"/>
          </w:tcPr>
          <w:p>
            <w:pPr>
              <w:spacing w:line="360" w:lineRule="auto" w:before="0" w:after="0"/>
              <w:jc w:val="left"/>
            </w:pPr>
            <w:r>
              <w:rPr>
                <w:rFonts w:ascii="Arial" w:hAnsi="Arial"/>
                <w:b w:val="0"/>
                <w:color w:val="000000"/>
                <w:sz w:val="22"/>
              </w:rPr>
              <w:t>Laluan keluar, kebersihan dan kecemasan</w:t>
            </w:r>
          </w:p>
        </w:tc>
      </w:tr>
    </w:tbl>
    <w:p>
      <w:pPr>
        <w:spacing w:after="20" w:before="0" w:line="360" w:lineRule="auto"/>
      </w:pPr>
      <w:r>
        <w:rPr>
          <w:rFonts w:ascii="Arial" w:hAnsi="Arial" w:eastAsia="Arial" w:cs="Arial"/>
          <w:b w:val="0"/>
          <w:i w:val="0"/>
          <w:color w:val="000000"/>
          <w:sz w:val="22"/>
        </w:rPr>
      </w:r>
    </w:p>
    <w:p>
      <w:pPr>
        <w:pStyle w:val="Heading1"/>
        <w:keepNext/>
        <w:keepLines/>
        <w:pageBreakBefore/>
        <w:numPr>
          <w:ilvl w:val="0"/>
          <w:numId w:val="10"/>
        </w:numPr>
        <w:spacing w:line="360" w:lineRule="auto"/>
      </w:pPr>
      <w:r>
        <w:rPr>
          <w:rFonts w:ascii="Arial" w:hAnsi="Arial" w:cs="Arial"/>
          <w:color w:val="000000"/>
          <w:sz w:val="22"/>
        </w:rPr>
        <w:t>IMPLIKASI KEWANGAN</w:t>
      </w:r>
    </w:p>
    <w:p>
      <w:pPr>
        <w:spacing w:line="360" w:lineRule="auto"/>
      </w:pPr>
      <w:r>
        <w:rPr>
          <w:rFonts w:ascii="Arial" w:hAnsi="Arial" w:cs="Arial"/>
          <w:color w:val="000000"/>
          <w:sz w:val="22"/>
        </w:rPr>
        <w:t>Jumlah anggaran kos kursus ialah RM3,200.00 untuk 92 orang, termasuk 80 murid, 10 guru/urusetia dan dua penceramah. Sumber kewangan disenaraikan sebagai UNJURAN dan bukannya peruntukan yang telah diterima. Jika sekolah mempunyai model latihan, peralatan audio dan kain simulasi sendiri, kadar perbelanjaan boleh dikurangkan.</w:t>
      </w:r>
    </w:p>
    <w:p>
      <w:pPr>
        <w:pStyle w:val="Heading2"/>
        <w:keepNext/>
        <w:keepLines/>
        <w:numPr>
          <w:ilvl w:val="1"/>
          <w:numId w:val="10"/>
        </w:numPr>
        <w:spacing w:line="360" w:lineRule="auto"/>
      </w:pPr>
      <w:r>
        <w:rPr>
          <w:rFonts w:ascii="Arial" w:hAnsi="Arial" w:cs="Arial"/>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Sumber kewangan (cadangan)</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Amaun (RM)</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Status</w:t>
            </w:r>
          </w:p>
        </w:tc>
      </w:tr>
      <w:tr>
        <w:trPr>
          <w:cantSplit/>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Peruntukan sekolah yang dibenarkan (cadangan)</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1,800.00</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Tertakluk kelulusan</w:t>
            </w:r>
          </w:p>
        </w:tc>
      </w:tr>
      <w:tr>
        <w:trPr>
          <w:cantSplit/>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Sumbangan PIBG (cadangan)</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900.00</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Belum disahkan/diterima</w:t>
            </w:r>
          </w:p>
        </w:tc>
      </w:tr>
      <w:tr>
        <w:trPr>
          <w:cantSplit/>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Sumbangan komuniti (cadangan)</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500.00</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Belum disahkan/diterima</w:t>
            </w:r>
          </w:p>
        </w:tc>
      </w:tr>
      <w:tr>
        <w:trPr>
          <w:cantSplit/>
        </w:trPr>
        <w:tc>
          <w:tcPr>
            <w:tcW w:type="dxa" w:w="4082"/>
            <w:vAlign w:val="center"/>
          </w:tcPr>
          <w:p>
            <w:pPr>
              <w:spacing w:line="360" w:lineRule="auto" w:before="0" w:after="0"/>
              <w:jc w:val="left"/>
            </w:pPr>
            <w:r>
              <w:rPr>
                <w:rFonts w:ascii="Arial" w:hAnsi="Arial"/>
                <w:b/>
                <w:color w:val="000000"/>
                <w:sz w:val="22"/>
              </w:rPr>
              <w:t>JUMLAH UNJURAN</w:t>
            </w:r>
          </w:p>
        </w:tc>
        <w:tc>
          <w:tcPr>
            <w:tcW w:type="dxa" w:w="1644"/>
            <w:vAlign w:val="center"/>
          </w:tcPr>
          <w:p>
            <w:pPr>
              <w:spacing w:line="360" w:lineRule="auto" w:before="0" w:after="0"/>
              <w:jc w:val="left"/>
            </w:pPr>
            <w:r>
              <w:rPr>
                <w:rFonts w:ascii="Arial" w:hAnsi="Arial"/>
                <w:b w:val="0"/>
                <w:color w:val="000000"/>
                <w:sz w:val="22"/>
              </w:rPr>
              <w:t>3,200.00</w:t>
            </w:r>
          </w:p>
        </w:tc>
        <w:tc>
          <w:tcPr>
            <w:tcW w:type="dxa" w:w="3458"/>
            <w:vAlign w:val="center"/>
          </w:tcPr>
          <w:p>
            <w:pPr>
              <w:spacing w:line="360" w:lineRule="auto" w:before="0" w:after="0"/>
              <w:jc w:val="left"/>
            </w:pPr>
            <w:r>
              <w:rPr>
                <w:rFonts w:ascii="Arial" w:hAnsi="Arial"/>
                <w:b w:val="0"/>
                <w:color w:val="000000"/>
                <w:sz w:val="22"/>
              </w:rPr>
              <w:t>Bukan dana tersedia</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cs="Arial"/>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Perkara</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Kadar (RM)</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color w:val="000000"/>
                <w:sz w:val="22"/>
              </w:rPr>
              <w:t>Jumlah (RM)</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Makan dan minum (murid, petugas dan penceramah)</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92</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10.00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920.00</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Honorarium tenaga pengajar jemputan</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2</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250.00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500.00</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Sewaan model simulasi latihan</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2</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180.00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360.00</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Kain kafan untuk latihan</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4</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85.00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line="360" w:lineRule="auto" w:before="0" w:after="0"/>
              <w:jc w:val="left"/>
            </w:pPr>
            <w:r>
              <w:rPr>
                <w:rFonts w:ascii="Arial" w:hAnsi="Arial"/>
                <w:b w:val="0"/>
                <w:color w:val="000000"/>
                <w:sz w:val="22"/>
              </w:rPr>
              <w:t>340.00</w:t>
            </w:r>
          </w:p>
        </w:tc>
      </w:tr>
      <w:tr>
        <w:trPr>
          <w:cantSplit/>
        </w:trPr>
        <w:tc>
          <w:tcPr>
            <w:tcW w:type="dxa" w:w="4592"/>
            <w:vAlign w:val="center"/>
          </w:tcPr>
          <w:p>
            <w:pPr>
              <w:spacing w:line="360" w:lineRule="auto" w:before="0" w:after="0"/>
              <w:jc w:val="left"/>
            </w:pPr>
            <w:r>
              <w:rPr>
                <w:rFonts w:ascii="Arial" w:hAnsi="Arial"/>
                <w:b w:val="0"/>
                <w:color w:val="000000"/>
                <w:sz w:val="22"/>
              </w:rPr>
              <w:t>Bahan simulasi dan kebersihan</w:t>
            </w:r>
          </w:p>
        </w:tc>
        <w:tc>
          <w:tcPr>
            <w:tcW w:type="dxa" w:w="1134"/>
            <w:vAlign w:val="center"/>
          </w:tcPr>
          <w:p>
            <w:pPr>
              <w:spacing w:line="360" w:lineRule="auto" w:before="0" w:after="0"/>
              <w:jc w:val="left"/>
            </w:pPr>
            <w:r>
              <w:rPr>
                <w:rFonts w:ascii="Arial" w:hAnsi="Arial"/>
                <w:b w:val="0"/>
                <w:color w:val="000000"/>
                <w:sz w:val="22"/>
              </w:rPr>
              <w:t>4</w:t>
            </w:r>
          </w:p>
        </w:tc>
        <w:tc>
          <w:tcPr>
            <w:tcW w:type="dxa" w:w="1701"/>
            <w:vAlign w:val="center"/>
          </w:tcPr>
          <w:p>
            <w:pPr>
              <w:spacing w:line="360" w:lineRule="auto" w:before="0" w:after="0"/>
              <w:jc w:val="left"/>
            </w:pPr>
            <w:r>
              <w:rPr>
                <w:rFonts w:ascii="Arial" w:hAnsi="Arial"/>
                <w:b w:val="0"/>
                <w:color w:val="000000"/>
                <w:sz w:val="22"/>
              </w:rPr>
              <w:t>45.00</w:t>
            </w:r>
          </w:p>
        </w:tc>
        <w:tc>
          <w:tcPr>
            <w:tcW w:type="dxa" w:w="1757"/>
            <w:vAlign w:val="center"/>
          </w:tcPr>
          <w:p>
            <w:pPr>
              <w:spacing w:line="360" w:lineRule="auto" w:before="0" w:after="0"/>
              <w:jc w:val="left"/>
            </w:pPr>
            <w:r>
              <w:rPr>
                <w:rFonts w:ascii="Arial" w:hAnsi="Arial"/>
                <w:b w:val="0"/>
                <w:color w:val="000000"/>
                <w:sz w:val="22"/>
              </w:rPr>
              <w:t>180.00</w:t>
            </w:r>
          </w:p>
        </w:tc>
      </w:tr>
      <w:tr>
        <w:trPr>
          <w:cantSplit/>
        </w:trPr>
        <w:tc>
          <w:tcPr>
            <w:tcW w:type="dxa" w:w="4592"/>
            <w:vAlign w:val="center"/>
          </w:tcPr>
          <w:p>
            <w:pPr>
              <w:spacing w:line="360" w:lineRule="auto" w:before="0" w:after="0"/>
              <w:jc w:val="left"/>
            </w:pPr>
            <w:r>
              <w:rPr>
                <w:rFonts w:ascii="Arial" w:hAnsi="Arial"/>
                <w:b w:val="0"/>
                <w:color w:val="000000"/>
                <w:sz w:val="22"/>
              </w:rPr>
              <w:t>Modul dan lembaran aktiviti</w:t>
            </w:r>
          </w:p>
        </w:tc>
        <w:tc>
          <w:tcPr>
            <w:tcW w:type="dxa" w:w="1134"/>
            <w:vAlign w:val="center"/>
          </w:tcPr>
          <w:p>
            <w:pPr>
              <w:spacing w:line="360" w:lineRule="auto" w:before="0" w:after="0"/>
              <w:jc w:val="left"/>
            </w:pPr>
            <w:r>
              <w:rPr>
                <w:rFonts w:ascii="Arial" w:hAnsi="Arial"/>
                <w:b w:val="0"/>
                <w:color w:val="000000"/>
                <w:sz w:val="22"/>
              </w:rPr>
              <w:t>80</w:t>
            </w:r>
          </w:p>
        </w:tc>
        <w:tc>
          <w:tcPr>
            <w:tcW w:type="dxa" w:w="1701"/>
            <w:vAlign w:val="center"/>
          </w:tcPr>
          <w:p>
            <w:pPr>
              <w:spacing w:line="360" w:lineRule="auto" w:before="0" w:after="0"/>
              <w:jc w:val="left"/>
            </w:pPr>
            <w:r>
              <w:rPr>
                <w:rFonts w:ascii="Arial" w:hAnsi="Arial"/>
                <w:b w:val="0"/>
                <w:color w:val="000000"/>
                <w:sz w:val="22"/>
              </w:rPr>
              <w:t>4.00</w:t>
            </w:r>
          </w:p>
        </w:tc>
        <w:tc>
          <w:tcPr>
            <w:tcW w:type="dxa" w:w="1757"/>
            <w:vAlign w:val="center"/>
          </w:tcPr>
          <w:p>
            <w:pPr>
              <w:spacing w:line="360" w:lineRule="auto" w:before="0" w:after="0"/>
              <w:jc w:val="left"/>
            </w:pPr>
            <w:r>
              <w:rPr>
                <w:rFonts w:ascii="Arial" w:hAnsi="Arial"/>
                <w:b w:val="0"/>
                <w:color w:val="000000"/>
                <w:sz w:val="22"/>
              </w:rPr>
              <w:t>320.00</w:t>
            </w:r>
          </w:p>
        </w:tc>
      </w:tr>
      <w:tr>
        <w:trPr>
          <w:cantSplit/>
        </w:trPr>
        <w:tc>
          <w:tcPr>
            <w:tcW w:type="dxa" w:w="4592"/>
            <w:vAlign w:val="center"/>
          </w:tcPr>
          <w:p>
            <w:pPr>
              <w:spacing w:line="360" w:lineRule="auto" w:before="0" w:after="0"/>
              <w:jc w:val="left"/>
            </w:pPr>
            <w:r>
              <w:rPr>
                <w:rFonts w:ascii="Arial" w:hAnsi="Arial"/>
                <w:b w:val="0"/>
                <w:color w:val="000000"/>
                <w:sz w:val="22"/>
              </w:rPr>
              <w:t>Sijil penyertaan murid</w:t>
            </w:r>
          </w:p>
        </w:tc>
        <w:tc>
          <w:tcPr>
            <w:tcW w:type="dxa" w:w="1134"/>
            <w:vAlign w:val="center"/>
          </w:tcPr>
          <w:p>
            <w:pPr>
              <w:spacing w:line="360" w:lineRule="auto" w:before="0" w:after="0"/>
              <w:jc w:val="left"/>
            </w:pPr>
            <w:r>
              <w:rPr>
                <w:rFonts w:ascii="Arial" w:hAnsi="Arial"/>
                <w:b w:val="0"/>
                <w:color w:val="000000"/>
                <w:sz w:val="22"/>
              </w:rPr>
              <w:t>80</w:t>
            </w:r>
          </w:p>
        </w:tc>
        <w:tc>
          <w:tcPr>
            <w:tcW w:type="dxa" w:w="1701"/>
            <w:vAlign w:val="center"/>
          </w:tcPr>
          <w:p>
            <w:pPr>
              <w:spacing w:line="360" w:lineRule="auto" w:before="0" w:after="0"/>
              <w:jc w:val="left"/>
            </w:pPr>
            <w:r>
              <w:rPr>
                <w:rFonts w:ascii="Arial" w:hAnsi="Arial"/>
                <w:b w:val="0"/>
                <w:color w:val="000000"/>
                <w:sz w:val="22"/>
              </w:rPr>
              <w:t>3.00</w:t>
            </w:r>
          </w:p>
        </w:tc>
        <w:tc>
          <w:tcPr>
            <w:tcW w:type="dxa" w:w="1757"/>
            <w:vAlign w:val="center"/>
          </w:tcPr>
          <w:p>
            <w:pPr>
              <w:spacing w:line="360" w:lineRule="auto" w:before="0" w:after="0"/>
              <w:jc w:val="left"/>
            </w:pPr>
            <w:r>
              <w:rPr>
                <w:rFonts w:ascii="Arial" w:hAnsi="Arial"/>
                <w:b w:val="0"/>
                <w:color w:val="000000"/>
                <w:sz w:val="22"/>
              </w:rPr>
              <w:t>240.00</w:t>
            </w:r>
          </w:p>
        </w:tc>
      </w:tr>
      <w:tr>
        <w:trPr>
          <w:cantSplit/>
        </w:trPr>
        <w:tc>
          <w:tcPr>
            <w:tcW w:type="dxa" w:w="4592"/>
            <w:vAlign w:val="center"/>
          </w:tcPr>
          <w:p>
            <w:pPr>
              <w:spacing w:line="360" w:lineRule="auto" w:before="0" w:after="0"/>
              <w:jc w:val="left"/>
            </w:pPr>
            <w:r>
              <w:rPr>
                <w:rFonts w:ascii="Arial" w:hAnsi="Arial"/>
                <w:b w:val="0"/>
                <w:color w:val="000000"/>
                <w:sz w:val="22"/>
              </w:rPr>
              <w:t>Keperluan audio/visual tambahan</w:t>
            </w:r>
          </w:p>
        </w:tc>
        <w:tc>
          <w:tcPr>
            <w:tcW w:type="dxa" w:w="1134"/>
            <w:vAlign w:val="center"/>
          </w:tcPr>
          <w:p>
            <w:pPr>
              <w:spacing w:line="360" w:lineRule="auto" w:before="0" w:after="0"/>
              <w:jc w:val="left"/>
            </w:pPr>
            <w:r>
              <w:rPr>
                <w:rFonts w:ascii="Arial" w:hAnsi="Arial"/>
                <w:b w:val="0"/>
                <w:color w:val="000000"/>
                <w:sz w:val="22"/>
              </w:rPr>
              <w:t>1</w:t>
            </w:r>
          </w:p>
        </w:tc>
        <w:tc>
          <w:tcPr>
            <w:tcW w:type="dxa" w:w="1701"/>
            <w:vAlign w:val="center"/>
          </w:tcPr>
          <w:p>
            <w:pPr>
              <w:spacing w:line="360" w:lineRule="auto" w:before="0" w:after="0"/>
              <w:jc w:val="left"/>
            </w:pPr>
            <w:r>
              <w:rPr>
                <w:rFonts w:ascii="Arial" w:hAnsi="Arial"/>
                <w:b w:val="0"/>
                <w:color w:val="000000"/>
                <w:sz w:val="22"/>
              </w:rPr>
              <w:t>120.00</w:t>
            </w:r>
          </w:p>
        </w:tc>
        <w:tc>
          <w:tcPr>
            <w:tcW w:type="dxa" w:w="1757"/>
            <w:vAlign w:val="center"/>
          </w:tcPr>
          <w:p>
            <w:pPr>
              <w:spacing w:line="360" w:lineRule="auto" w:before="0" w:after="0"/>
              <w:jc w:val="left"/>
            </w:pPr>
            <w:r>
              <w:rPr>
                <w:rFonts w:ascii="Arial" w:hAnsi="Arial"/>
                <w:b w:val="0"/>
                <w:color w:val="000000"/>
                <w:sz w:val="22"/>
              </w:rPr>
              <w:t>120.00</w:t>
            </w:r>
          </w:p>
        </w:tc>
      </w:tr>
      <w:tr>
        <w:trPr>
          <w:cantSplit/>
        </w:trPr>
        <w:tc>
          <w:tcPr>
            <w:tcW w:type="dxa" w:w="4592"/>
            <w:vAlign w:val="center"/>
          </w:tcPr>
          <w:p>
            <w:pPr>
              <w:spacing w:line="360" w:lineRule="auto" w:before="0" w:after="0"/>
              <w:jc w:val="left"/>
            </w:pPr>
            <w:r>
              <w:rPr>
                <w:rFonts w:ascii="Arial" w:hAnsi="Arial"/>
                <w:b w:val="0"/>
                <w:color w:val="000000"/>
                <w:sz w:val="22"/>
              </w:rPr>
              <w:t>Keperluan keselamatan dan kebajikan</w:t>
            </w:r>
          </w:p>
        </w:tc>
        <w:tc>
          <w:tcPr>
            <w:tcW w:type="dxa" w:w="1134"/>
            <w:vAlign w:val="center"/>
          </w:tcPr>
          <w:p>
            <w:pPr>
              <w:spacing w:line="360" w:lineRule="auto" w:before="0" w:after="0"/>
              <w:jc w:val="left"/>
            </w:pPr>
            <w:r>
              <w:rPr>
                <w:rFonts w:ascii="Arial" w:hAnsi="Arial"/>
                <w:b w:val="0"/>
                <w:color w:val="000000"/>
                <w:sz w:val="22"/>
              </w:rPr>
              <w:t>1</w:t>
            </w:r>
          </w:p>
        </w:tc>
        <w:tc>
          <w:tcPr>
            <w:tcW w:type="dxa" w:w="1701"/>
            <w:vAlign w:val="center"/>
          </w:tcPr>
          <w:p>
            <w:pPr>
              <w:spacing w:line="360" w:lineRule="auto" w:before="0" w:after="0"/>
              <w:jc w:val="left"/>
            </w:pPr>
            <w:r>
              <w:rPr>
                <w:rFonts w:ascii="Arial" w:hAnsi="Arial"/>
                <w:b w:val="0"/>
                <w:color w:val="000000"/>
                <w:sz w:val="22"/>
              </w:rPr>
              <w:t>100.00</w:t>
            </w:r>
          </w:p>
        </w:tc>
        <w:tc>
          <w:tcPr>
            <w:tcW w:type="dxa" w:w="1757"/>
            <w:vAlign w:val="center"/>
          </w:tcPr>
          <w:p>
            <w:pPr>
              <w:spacing w:line="360" w:lineRule="auto" w:before="0" w:after="0"/>
              <w:jc w:val="left"/>
            </w:pPr>
            <w:r>
              <w:rPr>
                <w:rFonts w:ascii="Arial" w:hAnsi="Arial"/>
                <w:b w:val="0"/>
                <w:color w:val="000000"/>
                <w:sz w:val="22"/>
              </w:rPr>
              <w:t>100.00</w:t>
            </w:r>
          </w:p>
        </w:tc>
      </w:tr>
      <w:tr>
        <w:trPr>
          <w:cantSplit/>
        </w:trPr>
        <w:tc>
          <w:tcPr>
            <w:tcW w:type="dxa" w:w="4592"/>
            <w:vAlign w:val="center"/>
          </w:tcPr>
          <w:p>
            <w:pPr>
              <w:spacing w:line="360" w:lineRule="auto" w:before="0" w:after="0"/>
              <w:jc w:val="left"/>
            </w:pPr>
            <w:r>
              <w:rPr>
                <w:rFonts w:ascii="Arial" w:hAnsi="Arial"/>
                <w:b w:val="0"/>
                <w:color w:val="000000"/>
                <w:sz w:val="22"/>
              </w:rPr>
              <w:t>Peruntukan luar jangka</w:t>
            </w:r>
          </w:p>
        </w:tc>
        <w:tc>
          <w:tcPr>
            <w:tcW w:type="dxa" w:w="1134"/>
            <w:vAlign w:val="center"/>
          </w:tcPr>
          <w:p>
            <w:pPr>
              <w:spacing w:line="360" w:lineRule="auto" w:before="0" w:after="0"/>
              <w:jc w:val="left"/>
            </w:pPr>
            <w:r>
              <w:rPr>
                <w:rFonts w:ascii="Arial" w:hAnsi="Arial"/>
                <w:b w:val="0"/>
                <w:color w:val="000000"/>
                <w:sz w:val="22"/>
              </w:rPr>
              <w:t>1</w:t>
            </w:r>
          </w:p>
        </w:tc>
        <w:tc>
          <w:tcPr>
            <w:tcW w:type="dxa" w:w="1701"/>
            <w:vAlign w:val="center"/>
          </w:tcPr>
          <w:p>
            <w:pPr>
              <w:spacing w:line="360" w:lineRule="auto" w:before="0" w:after="0"/>
              <w:jc w:val="left"/>
            </w:pPr>
            <w:r>
              <w:rPr>
                <w:rFonts w:ascii="Arial" w:hAnsi="Arial"/>
                <w:b w:val="0"/>
                <w:color w:val="000000"/>
                <w:sz w:val="22"/>
              </w:rPr>
              <w:t>120.00</w:t>
            </w:r>
          </w:p>
        </w:tc>
        <w:tc>
          <w:tcPr>
            <w:tcW w:type="dxa" w:w="1757"/>
            <w:vAlign w:val="center"/>
          </w:tcPr>
          <w:p>
            <w:pPr>
              <w:spacing w:line="360" w:lineRule="auto" w:before="0" w:after="0"/>
              <w:jc w:val="left"/>
            </w:pPr>
            <w:r>
              <w:rPr>
                <w:rFonts w:ascii="Arial" w:hAnsi="Arial"/>
                <w:b w:val="0"/>
                <w:color w:val="000000"/>
                <w:sz w:val="22"/>
              </w:rPr>
              <w:t>120.00</w:t>
            </w:r>
          </w:p>
        </w:tc>
      </w:tr>
      <w:tr>
        <w:trPr>
          <w:cantSplit/>
        </w:trPr>
        <w:tc>
          <w:tcPr>
            <w:tcW w:type="dxa" w:w="4592"/>
            <w:vAlign w:val="center"/>
          </w:tcPr>
          <w:p>
            <w:pPr>
              <w:spacing w:line="360" w:lineRule="auto" w:before="0" w:after="0"/>
              <w:jc w:val="left"/>
            </w:pPr>
            <w:r>
              <w:rPr>
                <w:rFonts w:ascii="Arial" w:hAnsi="Arial"/>
                <w:b/>
                <w:color w:val="000000"/>
                <w:sz w:val="22"/>
              </w:rPr>
              <w:t>JUMLAH KESELURUHAN</w:t>
            </w:r>
          </w:p>
        </w:tc>
        <w:tc>
          <w:tcPr>
            <w:tcW w:type="dxa" w:w="1134"/>
            <w:vAlign w:val="center"/>
          </w:tcPr>
          <w:p>
            <w:pPr>
              <w:spacing w:line="360" w:lineRule="auto" w:before="0" w:after="0"/>
              <w:jc w:val="left"/>
            </w:pPr>
            <w:r>
              <w:rPr>
                <w:rFonts w:ascii="Arial" w:hAnsi="Arial"/>
                <w:b/>
                <w:color w:val="000000"/>
                <w:sz w:val="22"/>
              </w:rPr>
            </w:r>
          </w:p>
        </w:tc>
        <w:tc>
          <w:tcPr>
            <w:tcW w:type="dxa" w:w="1701"/>
            <w:vAlign w:val="center"/>
          </w:tcPr>
          <w:p>
            <w:pPr>
              <w:spacing w:line="360" w:lineRule="auto" w:before="0" w:after="0"/>
              <w:jc w:val="left"/>
            </w:pPr>
            <w:r>
              <w:rPr>
                <w:rFonts w:ascii="Arial" w:hAnsi="Arial"/>
                <w:b/>
                <w:color w:val="000000"/>
                <w:sz w:val="22"/>
              </w:rPr>
            </w:r>
          </w:p>
        </w:tc>
        <w:tc>
          <w:tcPr>
            <w:tcW w:type="dxa" w:w="1757"/>
            <w:vAlign w:val="center"/>
          </w:tcPr>
          <w:p>
            <w:pPr>
              <w:spacing w:line="360" w:lineRule="auto" w:before="0" w:after="0"/>
              <w:jc w:val="left"/>
            </w:pPr>
            <w:r>
              <w:rPr>
                <w:rFonts w:ascii="Arial" w:hAnsi="Arial"/>
                <w:b/>
                <w:color w:val="000000"/>
                <w:sz w:val="22"/>
              </w:rPr>
              <w:t>3,200.00</w:t>
            </w:r>
          </w:p>
        </w:tc>
      </w:tr>
    </w:tbl>
    <w:p>
      <w:pPr>
        <w:spacing w:after="20" w:before="0" w:line="360" w:lineRule="auto"/>
      </w:pPr>
      <w:r>
        <w:rPr>
          <w:rFonts w:ascii="Arial" w:hAnsi="Arial" w:eastAsia="Arial" w:cs="Arial"/>
          <w:b w:val="0"/>
          <w:i w:val="0"/>
          <w:color w:val="000000"/>
          <w:sz w:val="22"/>
        </w:rPr>
      </w:r>
    </w:p>
    <w:p>
      <w:pPr>
        <w:keepLines/>
        <w:spacing w:line="360" w:lineRule="auto"/>
      </w:pPr>
      <w:r>
        <w:rPr>
          <w:rFonts w:ascii="Arial" w:hAnsi="Arial" w:cs="Arial"/>
          <w:color w:val="000000"/>
          <w:sz w:val="22"/>
        </w:rPr>
        <w:t>Jumlah unjuran sumber RM3,200.00 adalah sama dengan kos RM3,200.00, tetapi jurang RM0.00 hanya berlaku jika semua sumber diluluskan dan diterima. Sumber kewangan yang belum disahkan tidak boleh digunakan untuk membuat komitmen pembelian. Perbelanjaan sebenar perlu mengikut tatacara sekolah dan harga pembekal.</w:t>
      </w:r>
    </w:p>
    <w:p>
      <w:pPr>
        <w:pStyle w:val="Heading1"/>
        <w:keepNext/>
        <w:keepLines/>
        <w:numPr>
          <w:ilvl w:val="0"/>
          <w:numId w:val="10"/>
        </w:numPr>
        <w:spacing w:line="360" w:lineRule="auto"/>
      </w:pPr>
      <w:r>
        <w:rPr>
          <w:rFonts w:ascii="Arial" w:hAnsi="Arial" w:cs="Arial"/>
          <w:color w:val="000000"/>
          <w:sz w:val="22"/>
        </w:rPr>
        <w:t>PENGANGKUTAN</w:t>
      </w:r>
    </w:p>
    <w:p>
      <w:pPr>
        <w:spacing w:line="360" w:lineRule="auto"/>
      </w:pPr>
      <w:r>
        <w:rPr>
          <w:rFonts w:ascii="Arial" w:hAnsi="Arial" w:cs="Arial"/>
          <w:color w:val="000000"/>
          <w:sz w:val="22"/>
        </w:rPr>
        <w:t>Tiada pengangkutan luar untuk murid kerana kursus berlangsung di sekolah. Tenaga pengajar luar mengurus perjalanan masing-masing, melainkan pihak sekolah meluluskan urusan lain secara berasingan. Pergerakan murid antara surau dan bilik latihan diawasi guru.</w:t>
      </w:r>
    </w:p>
    <w:p>
      <w:pPr>
        <w:pStyle w:val="Heading1"/>
        <w:keepNext/>
        <w:keepLines/>
        <w:numPr>
          <w:ilvl w:val="0"/>
          <w:numId w:val="10"/>
        </w:numPr>
        <w:spacing w:line="360" w:lineRule="auto"/>
      </w:pPr>
      <w:r>
        <w:rPr>
          <w:rFonts w:ascii="Arial" w:hAnsi="Arial" w:cs="Arial"/>
          <w:color w:val="000000"/>
          <w:sz w:val="22"/>
        </w:rPr>
        <w:t>PERALATAN DAN MAKANAN</w:t>
      </w:r>
    </w:p>
    <w:p>
      <w:pPr>
        <w:spacing w:line="360" w:lineRule="auto"/>
      </w:pPr>
      <w:r>
        <w:rPr>
          <w:rFonts w:ascii="Arial" w:hAnsi="Arial" w:cs="Arial"/>
          <w:color w:val="000000"/>
          <w:sz w:val="22"/>
        </w:rPr>
        <w:t>Peralatan: dua model latihan bertutup, kain kafan simulasi, alas/tikar, partisyen, sarung tangan untuk demonstrasi, kelengkapan kebersihan, bahan cetakan dan projektor. Pengajar akan menentukan bahan yang selamat serta sesuai untuk murid. Makanan: makan/minum ringan dan makan tengah hari bagi 92 orang mengikut keperluan serta makluman alahan; elakkan makanan di kawasan simulasi amali.</w:t>
      </w:r>
    </w:p>
    <w:p>
      <w:pPr>
        <w:pStyle w:val="Heading1"/>
        <w:keepNext/>
        <w:keepLines/>
        <w:numPr>
          <w:ilvl w:val="0"/>
          <w:numId w:val="10"/>
        </w:numPr>
        <w:spacing w:line="360" w:lineRule="auto"/>
      </w:pPr>
      <w:r>
        <w:rPr>
          <w:rFonts w:ascii="Arial" w:hAnsi="Arial" w:cs="Arial"/>
          <w:color w:val="000000"/>
          <w:sz w:val="22"/>
        </w:rPr>
        <w:t>PENUTUP</w:t>
      </w:r>
    </w:p>
    <w:p>
      <w:pPr>
        <w:spacing w:line="360" w:lineRule="auto"/>
      </w:pPr>
      <w:r>
        <w:rPr>
          <w:rFonts w:ascii="Arial" w:hAnsi="Arial" w:cs="Arial"/>
          <w:color w:val="000000"/>
          <w:sz w:val="22"/>
        </w:rPr>
        <w:t>Diharapkan Kursus Pengurusan Jenazah Peringkat Sekolah 2027 mendapat pertimbangan dan kelulusan Guru Besar. Kursus ini diharapkan dapat memperkukuh pemahaman fardu kifayah serta membina sikap hormat, amanah dan kepedulian murid melalui latihan yang sopan dan selamat. Semua pelaksanaan tertakluk kelulusan, kesesuaian umur peserta serta bimbingan pengajar berpengalaman.</w:t>
      </w:r>
    </w:p>
    <w:p>
      <w:pPr>
        <w:pStyle w:val="Heading1"/>
        <w:keepNext/>
        <w:keepLines/>
        <w:pageBreakBefore w:val="0"/>
        <w:numPr>
          <w:ilvl w:val="0"/>
          <w:numId w:val="10"/>
        </w:numPr>
        <w:spacing w:line="360" w:lineRule="auto"/>
      </w:pPr>
      <w:r>
        <w:rPr>
          <w:rFonts w:ascii="Arial" w:hAnsi="Arial" w:cs="Arial"/>
          <w:color w:val="000000"/>
          <w:sz w:val="22"/>
        </w:rPr>
        <w:t>PENGESAHAN KERTAS KERJA PROGRAM</w:t>
      </w:r>
    </w:p>
    <w:p>
      <w:pPr>
        <w:pStyle w:val="KKSignature"/>
        <w:keepNext/>
        <w:keepLines/>
        <w:spacing w:line="360" w:lineRule="auto"/>
      </w:pPr>
      <w:r>
        <w:rPr>
          <w:rFonts w:ascii="Arial" w:hAnsi="Arial" w:cs="Arial"/>
          <w:color w:val="000000"/>
          <w:sz w:val="22"/>
        </w:rPr>
        <w:t>Disediakan oleh:</w:t>
      </w:r>
    </w:p>
    <w:p>
      <w:pPr>
        <w:pStyle w:val="KKSignature"/>
        <w:keepNext/>
        <w:keepLines/>
        <w:spacing w:line="360" w:lineRule="auto"/>
      </w:pPr>
      <w:r>
        <w:rPr>
          <w:rFonts w:ascii="Arial" w:hAnsi="Arial" w:cs="Arial"/>
          <w:color w:val="000000"/>
          <w:sz w:val="22"/>
        </w:rPr>
        <w:t>Tandatangan: ______________________________</w:t>
        <w:br/>
        <w:t>Nama/Jawatan: Setiausaha Kursus Pengurusan Jenazah</w:t>
        <w:br/>
        <w:t>Tarikh: ______________________________</w:t>
      </w:r>
    </w:p>
    <w:p>
      <w:pPr>
        <w:pStyle w:val="KKSignature"/>
        <w:keepNext/>
        <w:keepLines/>
        <w:spacing w:line="360" w:lineRule="auto"/>
      </w:pPr>
      <w:r>
        <w:rPr>
          <w:rFonts w:ascii="Arial" w:hAnsi="Arial" w:cs="Arial"/>
          <w:color w:val="000000"/>
          <w:sz w:val="22"/>
        </w:rPr>
        <w:t>Disemak oleh:</w:t>
      </w:r>
    </w:p>
    <w:p>
      <w:pPr>
        <w:pStyle w:val="KKSignature"/>
        <w:keepNext/>
        <w:keepLines/>
        <w:spacing w:line="360" w:lineRule="auto"/>
      </w:pPr>
      <w:r>
        <w:rPr>
          <w:rFonts w:ascii="Arial" w:hAnsi="Arial" w:cs="Arial"/>
          <w:color w:val="000000"/>
          <w:sz w:val="22"/>
        </w:rPr>
        <w:t>Tandatangan: ______________________________</w:t>
        <w:br/>
        <w:t>Nama/Jawatan: Ketua Panitia Pendidikan Islam / Penolong Kanan Pentadbiran</w:t>
        <w:br/>
        <w:t>Tarikh: ______________________________</w:t>
      </w:r>
    </w:p>
    <w:p>
      <w:pPr>
        <w:pStyle w:val="KKSignature"/>
        <w:keepNext/>
        <w:keepLines/>
        <w:spacing w:line="360" w:lineRule="auto"/>
      </w:pPr>
      <w:r>
        <w:rPr>
          <w:rFonts w:ascii="Arial" w:hAnsi="Arial" w:cs="Arial"/>
          <w:color w:val="000000"/>
          <w:sz w:val="22"/>
        </w:rPr>
        <w:t>Diluluskan oleh:</w:t>
      </w:r>
    </w:p>
    <w:p>
      <w:pPr>
        <w:pStyle w:val="KKSignature"/>
        <w:keepNext/>
        <w:keepLines/>
        <w:spacing w:line="360" w:lineRule="auto"/>
      </w:pPr>
      <w:r>
        <w:rPr>
          <w:rFonts w:ascii="Arial" w:hAnsi="Arial" w:cs="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cs="Arial"/>
          <w:color w:val="000000"/>
          <w:sz w:val="22"/>
        </w:rPr>
        <w:t>Keputusan: Lulus / Tidak lulus / Perlu pindaan. Ruangan ini hanya dilengkapkan oleh pegawai sebenar. Tiada kelulusan, cop atau tandatangan rekaan.</w:t>
      </w:r>
    </w:p>
    <w:p>
      <w:pPr>
        <w:pStyle w:val="KKLampiran"/>
        <w:keepNext/>
        <w:keepLines/>
        <w:spacing w:line="360" w:lineRule="auto"/>
      </w:pPr>
      <w:r>
        <w:rPr>
          <w:rFonts w:ascii="Arial" w:hAnsi="Arial" w:cs="Arial"/>
          <w:color w:val="000000"/>
          <w:sz w:val="22"/>
        </w:rPr>
        <w:t>LAMPIRAN — KAEDAH PENILAIAN DAN PENGURUSAN LATIHAN</w:t>
      </w:r>
    </w:p>
    <w:p>
      <w:pPr>
        <w:pStyle w:val="KKCoverField"/>
        <w:spacing w:line="360" w:lineRule="auto"/>
      </w:pPr>
      <w:r>
        <w:rPr>
          <w:rFonts w:ascii="Arial" w:hAnsi="Arial" w:cs="Arial"/>
          <w:color w:val="000000"/>
          <w:sz w:val="22"/>
        </w:rPr>
        <w:t>Lampiran A — Ujian pra/pasca: 10 soalan tentang fardu kifayah, empat peringkat, adab dan peranan pengurus berkelayakan. Sasaran sekurang-kurangnya 70% peserta mencapai tujuh jawapan betul pada ujian pasca; ini sasaran, bukan hasil sebenar.</w:t>
      </w:r>
    </w:p>
    <w:p>
      <w:pPr>
        <w:pStyle w:val="KKCoverField"/>
        <w:spacing w:line="360" w:lineRule="auto"/>
      </w:pPr>
      <w:r>
        <w:rPr>
          <w:rFonts w:ascii="Arial" w:hAnsi="Arial" w:cs="Arial"/>
          <w:color w:val="000000"/>
          <w:sz w:val="22"/>
        </w:rPr>
        <w:t>Lampiran B — Rubrik demonstrasi: Murid mengenal pasti peralatan, mematuhi adab, menyusun kain simulasi dan mengikuti susunan solat jenazah berdasarkan penerangan pengajar. Catatan guru bersifat pembelajaran, bukan pengiktirafan kelayakan mengurus jenazah sebenar.</w:t>
      </w:r>
    </w:p>
    <w:p>
      <w:pPr>
        <w:pStyle w:val="KKCoverField"/>
        <w:spacing w:line="360" w:lineRule="auto"/>
      </w:pPr>
      <w:r>
        <w:rPr>
          <w:rFonts w:ascii="Arial" w:hAnsi="Arial" w:cs="Arial"/>
          <w:color w:val="000000"/>
          <w:sz w:val="22"/>
        </w:rPr>
        <w:t>Lampiran C — Sensitiviti, keselamatan dan privasi: Latihan hanya pada model tertutup, tiada tubuh murid atau jenazah sebenar, pengawasan guru, pilihan aktiviti alternatif, kebenaran rakaman jika relevan dan penyimpanan foto yang berhemah.</w:t>
      </w:r>
    </w:p>
    <w:p>
      <w:pPr>
        <w:pStyle w:val="KKCoverField"/>
        <w:spacing w:line="360" w:lineRule="auto"/>
      </w:pPr>
      <w:r>
        <w:rPr>
          <w:rFonts w:ascii="Arial" w:hAnsi="Arial" w:cs="Arial"/>
          <w:color w:val="000000"/>
          <w:sz w:val="22"/>
        </w:rPr>
        <w:t>Lampiran D — Laporan program: Jumlah peserta sebenar, markah pra/pasca agregat, penambahbaikan, kehadiran penceramah, kos dan resit sebenar. Jangan masukkan maklumat emosi atau kesihatan murid yang tidak diperlukan.</w:t>
      </w:r>
    </w:p>
    <w:p>
      <w:pPr>
        <w:pStyle w:val="KKLampiran"/>
        <w:keepNext/>
        <w:keepLines/>
        <w:spacing w:line="360" w:lineRule="auto"/>
      </w:pPr>
      <w:r>
        <w:rPr>
          <w:rFonts w:ascii="Arial" w:hAnsi="Arial" w:cs="Arial"/>
          <w:color w:val="000000"/>
          <w:sz w:val="22"/>
        </w:rPr>
        <w:t>LAMPIRAN E — SENARAI SEMAK PELAKSANAAN</w:t>
      </w:r>
    </w:p>
    <w:p>
      <w:pPr>
        <w:keepNext/>
        <w:spacing w:line="360" w:lineRule="auto"/>
      </w:pPr>
      <w:r>
        <w:rPr>
          <w:rFonts w:ascii="Arial" w:hAnsi="Arial" w:cs="Arial"/>
          <w:color w:val="000000"/>
          <w:sz w:val="22"/>
        </w:rPr>
        <w:t>Senarai semak ini perlu dilengkapkan oleh urusetia sebelum program dilaksanakan. Semua medan berstatus belum disahkan kerana dokumen ini merupakan contoh perancangan; bukti sebenar disimpan dalam fail dalaman sekolah.</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cantSplit/>
        </w:trPr>
        <w:tc>
          <w:tcPr>
            <w:tcW w:type="dxa" w:w="4252"/>
            <w:vAlign w:val="center"/>
          </w:tcPr>
          <w:p>
            <w:pPr>
              <w:spacing w:line="360" w:lineRule="auto" w:before="0" w:after="0"/>
              <w:jc w:val="left"/>
            </w:pPr>
            <w:r>
              <w:rPr>
                <w:rFonts w:ascii="Arial" w:hAnsi="Arial"/>
                <w:b/>
                <w:color w:val="000000"/>
                <w:sz w:val="22"/>
              </w:rPr>
              <w:t>Perkara</w:t>
            </w:r>
          </w:p>
        </w:tc>
        <w:tc>
          <w:tcPr>
            <w:tcW w:type="dxa" w:w="1984"/>
            <w:vAlign w:val="center"/>
          </w:tcPr>
          <w:p>
            <w:pPr>
              <w:spacing w:line="360" w:lineRule="auto" w:before="0" w:after="0"/>
              <w:jc w:val="left"/>
            </w:pPr>
            <w:r>
              <w:rPr>
                <w:rFonts w:ascii="Arial" w:hAnsi="Arial"/>
                <w:b/>
                <w:color w:val="000000"/>
                <w:sz w:val="22"/>
              </w:rPr>
              <w:t>Status awal</w:t>
            </w:r>
          </w:p>
        </w:tc>
        <w:tc>
          <w:tcPr>
            <w:tcW w:type="dxa" w:w="2948"/>
            <w:vAlign w:val="center"/>
          </w:tcPr>
          <w:p>
            <w:pPr>
              <w:spacing w:line="360" w:lineRule="auto" w:before="0" w:after="0"/>
              <w:jc w:val="left"/>
            </w:pPr>
            <w:r>
              <w:rPr>
                <w:rFonts w:ascii="Arial" w:hAnsi="Arial"/>
                <w:b/>
                <w:color w:val="000000"/>
                <w:sz w:val="22"/>
              </w:rPr>
              <w:t>Pengesahan / tindakan</w:t>
            </w:r>
          </w:p>
        </w:tc>
      </w:tr>
      <w:tr>
        <w:trPr>
          <w:cantSplit/>
        </w:trPr>
        <w:tc>
          <w:tcPr>
            <w:tcW w:type="dxa" w:w="4252"/>
            <w:vAlign w:val="center"/>
          </w:tcPr>
          <w:p>
            <w:pPr>
              <w:spacing w:line="360" w:lineRule="auto" w:before="0" w:after="0"/>
              <w:jc w:val="left"/>
            </w:pPr>
            <w:r>
              <w:rPr>
                <w:rFonts w:ascii="Arial" w:hAnsi="Arial"/>
                <w:b w:val="0"/>
                <w:color w:val="000000"/>
                <w:sz w:val="22"/>
              </w:rPr>
              <w:t>Kebenaran pentadbir dan makluman ibu bapa</w:t>
            </w:r>
          </w:p>
        </w:tc>
        <w:tc>
          <w:tcPr>
            <w:tcW w:type="dxa" w:w="1984"/>
            <w:vAlign w:val="center"/>
          </w:tcPr>
          <w:p>
            <w:pPr>
              <w:spacing w:line="360" w:lineRule="auto" w:before="0" w:after="0"/>
              <w:jc w:val="left"/>
            </w:pPr>
            <w:r>
              <w:rPr>
                <w:rFonts w:ascii="Arial" w:hAnsi="Arial"/>
                <w:b w:val="0"/>
                <w:color w:val="000000"/>
                <w:sz w:val="22"/>
              </w:rPr>
              <w:t>Belum disahkan</w:t>
            </w:r>
          </w:p>
        </w:tc>
        <w:tc>
          <w:tcPr>
            <w:tcW w:type="dxa" w:w="2948"/>
            <w:vAlign w:val="center"/>
          </w:tcPr>
          <w:p>
            <w:pPr>
              <w:spacing w:line="360" w:lineRule="auto" w:before="0" w:after="0"/>
              <w:jc w:val="left"/>
            </w:pPr>
            <w:r>
              <w:rPr>
                <w:rFonts w:ascii="Arial" w:hAnsi="Arial"/>
                <w:b w:val="0"/>
                <w:color w:val="000000"/>
                <w:sz w:val="22"/>
              </w:rPr>
              <w:t>Urusetia / Guru Besar</w:t>
            </w:r>
          </w:p>
        </w:tc>
      </w:tr>
      <w:tr>
        <w:trPr>
          <w:cantSplit/>
        </w:trPr>
        <w:tc>
          <w:tcPr>
            <w:tcW w:type="dxa" w:w="4252"/>
            <w:vAlign w:val="center"/>
          </w:tcPr>
          <w:p>
            <w:pPr>
              <w:spacing w:line="360" w:lineRule="auto" w:before="0" w:after="0"/>
              <w:jc w:val="left"/>
            </w:pPr>
            <w:r>
              <w:rPr>
                <w:rFonts w:ascii="Arial" w:hAnsi="Arial"/>
                <w:b w:val="0"/>
                <w:color w:val="000000"/>
                <w:sz w:val="22"/>
              </w:rPr>
              <w:t>Semakan kesesuaian topik dan kesejahteraan murid</w:t>
            </w:r>
          </w:p>
        </w:tc>
        <w:tc>
          <w:tcPr>
            <w:tcW w:type="dxa" w:w="1984"/>
            <w:vAlign w:val="center"/>
          </w:tcPr>
          <w:p>
            <w:pPr>
              <w:spacing w:line="360" w:lineRule="auto" w:before="0" w:after="0"/>
              <w:jc w:val="left"/>
            </w:pPr>
            <w:r>
              <w:rPr>
                <w:rFonts w:ascii="Arial" w:hAnsi="Arial"/>
                <w:b w:val="0"/>
                <w:color w:val="000000"/>
                <w:sz w:val="22"/>
              </w:rPr>
              <w:t>Perlu diperiksa</w:t>
            </w:r>
          </w:p>
        </w:tc>
        <w:tc>
          <w:tcPr>
            <w:tcW w:type="dxa" w:w="2948"/>
            <w:vAlign w:val="center"/>
          </w:tcPr>
          <w:p>
            <w:pPr>
              <w:spacing w:line="360" w:lineRule="auto" w:before="0" w:after="0"/>
              <w:jc w:val="left"/>
            </w:pPr>
            <w:r>
              <w:rPr>
                <w:rFonts w:ascii="Arial" w:hAnsi="Arial"/>
                <w:b w:val="0"/>
                <w:color w:val="000000"/>
                <w:sz w:val="22"/>
              </w:rPr>
              <w:t>Guru Pendidikan Islam / HEM</w:t>
            </w:r>
          </w:p>
        </w:tc>
      </w:tr>
      <w:tr>
        <w:trPr>
          <w:cantSplit/>
        </w:trPr>
        <w:tc>
          <w:tcPr>
            <w:tcW w:type="dxa" w:w="4252"/>
            <w:vAlign w:val="center"/>
          </w:tcPr>
          <w:p>
            <w:pPr>
              <w:spacing w:line="360" w:lineRule="auto" w:before="0" w:after="0"/>
              <w:jc w:val="left"/>
            </w:pPr>
            <w:r>
              <w:rPr>
                <w:rFonts w:ascii="Arial" w:hAnsi="Arial"/>
                <w:b w:val="0"/>
                <w:color w:val="000000"/>
                <w:sz w:val="22"/>
              </w:rPr>
              <w:t>Penceramah lelaki dan wanita yang sesuai</w:t>
            </w:r>
          </w:p>
        </w:tc>
        <w:tc>
          <w:tcPr>
            <w:tcW w:type="dxa" w:w="1984"/>
            <w:vAlign w:val="center"/>
          </w:tcPr>
          <w:p>
            <w:pPr>
              <w:spacing w:line="360" w:lineRule="auto" w:before="0" w:after="0"/>
              <w:jc w:val="left"/>
            </w:pPr>
            <w:r>
              <w:rPr>
                <w:rFonts w:ascii="Arial" w:hAnsi="Arial"/>
                <w:b w:val="0"/>
                <w:color w:val="000000"/>
                <w:sz w:val="22"/>
              </w:rPr>
              <w:t>Belum dimuktamadkan</w:t>
            </w:r>
          </w:p>
        </w:tc>
        <w:tc>
          <w:tcPr>
            <w:tcW w:type="dxa" w:w="2948"/>
            <w:vAlign w:val="center"/>
          </w:tcPr>
          <w:p>
            <w:pPr>
              <w:spacing w:line="360" w:lineRule="auto" w:before="0" w:after="0"/>
              <w:jc w:val="left"/>
            </w:pPr>
            <w:r>
              <w:rPr>
                <w:rFonts w:ascii="Arial" w:hAnsi="Arial"/>
                <w:b w:val="0"/>
                <w:color w:val="000000"/>
                <w:sz w:val="22"/>
              </w:rPr>
              <w:t>Ketua Panitia / urusetia</w:t>
            </w:r>
          </w:p>
        </w:tc>
      </w:tr>
      <w:tr>
        <w:trPr>
          <w:cantSplit/>
        </w:trPr>
        <w:tc>
          <w:tcPr>
            <w:tcW w:type="dxa" w:w="4252"/>
            <w:vAlign w:val="center"/>
          </w:tcPr>
          <w:p>
            <w:pPr>
              <w:spacing w:line="360" w:lineRule="auto" w:before="0" w:after="0"/>
              <w:jc w:val="left"/>
            </w:pPr>
            <w:r>
              <w:rPr>
                <w:rFonts w:ascii="Arial" w:hAnsi="Arial"/>
                <w:b w:val="0"/>
                <w:color w:val="000000"/>
                <w:sz w:val="22"/>
              </w:rPr>
              <w:t>Model simulasi, kain latihan dan partisyen</w:t>
            </w:r>
          </w:p>
        </w:tc>
        <w:tc>
          <w:tcPr>
            <w:tcW w:type="dxa" w:w="1984"/>
            <w:vAlign w:val="center"/>
          </w:tcPr>
          <w:p>
            <w:pPr>
              <w:spacing w:line="360" w:lineRule="auto" w:before="0" w:after="0"/>
              <w:jc w:val="left"/>
            </w:pPr>
            <w:r>
              <w:rPr>
                <w:rFonts w:ascii="Arial" w:hAnsi="Arial"/>
                <w:b w:val="0"/>
                <w:color w:val="000000"/>
                <w:sz w:val="22"/>
              </w:rPr>
              <w:t>Belum diperiksa</w:t>
            </w:r>
          </w:p>
        </w:tc>
        <w:tc>
          <w:tcPr>
            <w:tcW w:type="dxa" w:w="2948"/>
            <w:vAlign w:val="center"/>
          </w:tcPr>
          <w:p>
            <w:pPr>
              <w:spacing w:line="360" w:lineRule="auto" w:before="0" w:after="0"/>
              <w:jc w:val="left"/>
            </w:pPr>
            <w:r>
              <w:rPr>
                <w:rFonts w:ascii="Arial" w:hAnsi="Arial"/>
                <w:b w:val="0"/>
                <w:color w:val="000000"/>
                <w:sz w:val="22"/>
              </w:rPr>
              <w:t>AJK peralatan</w:t>
            </w:r>
          </w:p>
        </w:tc>
      </w:tr>
      <w:tr>
        <w:trPr>
          <w:cantSplit/>
        </w:trPr>
        <w:tc>
          <w:tcPr>
            <w:tcW w:type="dxa" w:w="4252"/>
            <w:vAlign w:val="center"/>
          </w:tcPr>
          <w:p>
            <w:pPr>
              <w:spacing w:line="360" w:lineRule="auto" w:before="0" w:after="0"/>
              <w:jc w:val="left"/>
            </w:pPr>
            <w:r>
              <w:rPr>
                <w:rFonts w:ascii="Arial" w:hAnsi="Arial"/>
                <w:b w:val="0"/>
                <w:color w:val="000000"/>
                <w:sz w:val="22"/>
              </w:rPr>
              <w:t>Modul ibadah disemak dengan autoriti / pengajar bertauliah</w:t>
            </w:r>
          </w:p>
        </w:tc>
        <w:tc>
          <w:tcPr>
            <w:tcW w:type="dxa" w:w="1984"/>
            <w:vAlign w:val="center"/>
          </w:tcPr>
          <w:p>
            <w:pPr>
              <w:spacing w:line="360" w:lineRule="auto" w:before="0" w:after="0"/>
              <w:jc w:val="left"/>
            </w:pPr>
            <w:r>
              <w:rPr>
                <w:rFonts w:ascii="Arial" w:hAnsi="Arial"/>
                <w:b w:val="0"/>
                <w:color w:val="000000"/>
                <w:sz w:val="22"/>
              </w:rPr>
              <w:t>Belum disahkan</w:t>
            </w:r>
          </w:p>
        </w:tc>
        <w:tc>
          <w:tcPr>
            <w:tcW w:type="dxa" w:w="2948"/>
            <w:vAlign w:val="center"/>
          </w:tcPr>
          <w:p>
            <w:pPr>
              <w:spacing w:line="360" w:lineRule="auto" w:before="0" w:after="0"/>
              <w:jc w:val="left"/>
            </w:pPr>
            <w:r>
              <w:rPr>
                <w:rFonts w:ascii="Arial" w:hAnsi="Arial"/>
                <w:b w:val="0"/>
                <w:color w:val="000000"/>
                <w:sz w:val="22"/>
              </w:rPr>
              <w:t>Tenaga pengajar / Panitia</w:t>
            </w:r>
          </w:p>
        </w:tc>
      </w:tr>
      <w:tr>
        <w:trPr>
          <w:cantSplit/>
        </w:trPr>
        <w:tc>
          <w:tcPr>
            <w:tcW w:type="dxa" w:w="4252"/>
            <w:vAlign w:val="center"/>
          </w:tcPr>
          <w:p>
            <w:pPr>
              <w:spacing w:line="360" w:lineRule="auto" w:before="0" w:after="0"/>
              <w:jc w:val="left"/>
            </w:pPr>
            <w:r>
              <w:rPr>
                <w:rFonts w:ascii="Arial" w:hAnsi="Arial"/>
                <w:b w:val="0"/>
                <w:color w:val="000000"/>
                <w:sz w:val="22"/>
              </w:rPr>
              <w:t>Pemisahan ruang amali jika diperlukan</w:t>
            </w:r>
          </w:p>
        </w:tc>
        <w:tc>
          <w:tcPr>
            <w:tcW w:type="dxa" w:w="1984"/>
            <w:vAlign w:val="center"/>
          </w:tcPr>
          <w:p>
            <w:pPr>
              <w:spacing w:line="360" w:lineRule="auto" w:before="0" w:after="0"/>
              <w:jc w:val="left"/>
            </w:pPr>
            <w:r>
              <w:rPr>
                <w:rFonts w:ascii="Arial" w:hAnsi="Arial"/>
                <w:b w:val="0"/>
                <w:color w:val="000000"/>
                <w:sz w:val="22"/>
              </w:rPr>
              <w:t>Belum dimuktamadkan</w:t>
            </w:r>
          </w:p>
        </w:tc>
        <w:tc>
          <w:tcPr>
            <w:tcW w:type="dxa" w:w="2948"/>
            <w:vAlign w:val="center"/>
          </w:tcPr>
          <w:p>
            <w:pPr>
              <w:spacing w:line="360" w:lineRule="auto" w:before="0" w:after="0"/>
              <w:jc w:val="left"/>
            </w:pPr>
            <w:r>
              <w:rPr>
                <w:rFonts w:ascii="Arial" w:hAnsi="Arial"/>
                <w:b w:val="0"/>
                <w:color w:val="000000"/>
                <w:sz w:val="22"/>
              </w:rPr>
              <w:t>Guru pengiring</w:t>
            </w:r>
          </w:p>
        </w:tc>
      </w:tr>
      <w:tr>
        <w:trPr>
          <w:cantSplit/>
        </w:trPr>
        <w:tc>
          <w:tcPr>
            <w:tcW w:type="dxa" w:w="4252"/>
            <w:vAlign w:val="center"/>
          </w:tcPr>
          <w:p>
            <w:pPr>
              <w:spacing w:line="360" w:lineRule="auto" w:before="0" w:after="0"/>
              <w:jc w:val="left"/>
            </w:pPr>
            <w:r>
              <w:rPr>
                <w:rFonts w:ascii="Arial" w:hAnsi="Arial"/>
                <w:b w:val="0"/>
                <w:color w:val="000000"/>
                <w:sz w:val="22"/>
              </w:rPr>
              <w:t>Ujian pra, ujian pasca dan rubrik</w:t>
            </w:r>
          </w:p>
        </w:tc>
        <w:tc>
          <w:tcPr>
            <w:tcW w:type="dxa" w:w="1984"/>
            <w:vAlign w:val="center"/>
          </w:tcPr>
          <w:p>
            <w:pPr>
              <w:spacing w:line="360" w:lineRule="auto" w:before="0" w:after="0"/>
              <w:jc w:val="left"/>
            </w:pPr>
            <w:r>
              <w:rPr>
                <w:rFonts w:ascii="Arial" w:hAnsi="Arial"/>
                <w:b w:val="0"/>
                <w:color w:val="000000"/>
                <w:sz w:val="22"/>
              </w:rPr>
              <w:t>Belum dilaksanakan</w:t>
            </w:r>
          </w:p>
        </w:tc>
        <w:tc>
          <w:tcPr>
            <w:tcW w:type="dxa" w:w="2948"/>
            <w:vAlign w:val="center"/>
          </w:tcPr>
          <w:p>
            <w:pPr>
              <w:spacing w:line="360" w:lineRule="auto" w:before="0" w:after="0"/>
              <w:jc w:val="left"/>
            </w:pPr>
            <w:r>
              <w:rPr>
                <w:rFonts w:ascii="Arial" w:hAnsi="Arial"/>
                <w:b w:val="0"/>
                <w:color w:val="000000"/>
                <w:sz w:val="22"/>
              </w:rPr>
              <w:t>AJK penilaian</w:t>
            </w:r>
          </w:p>
        </w:tc>
      </w:tr>
      <w:tr>
        <w:trPr>
          <w:cantSplit/>
        </w:trPr>
        <w:tc>
          <w:tcPr>
            <w:tcW w:type="dxa" w:w="4252"/>
            <w:vAlign w:val="center"/>
          </w:tcPr>
          <w:p>
            <w:pPr>
              <w:spacing w:line="360" w:lineRule="auto" w:before="0" w:after="0"/>
              <w:jc w:val="left"/>
            </w:pPr>
            <w:r>
              <w:rPr>
                <w:rFonts w:ascii="Arial" w:hAnsi="Arial"/>
                <w:b w:val="0"/>
                <w:color w:val="000000"/>
                <w:sz w:val="22"/>
              </w:rPr>
              <w:t>Kebenaran foto / video murid</w:t>
            </w:r>
          </w:p>
        </w:tc>
        <w:tc>
          <w:tcPr>
            <w:tcW w:type="dxa" w:w="1984"/>
            <w:vAlign w:val="center"/>
          </w:tcPr>
          <w:p>
            <w:pPr>
              <w:spacing w:line="360" w:lineRule="auto" w:before="0" w:after="0"/>
              <w:jc w:val="left"/>
            </w:pPr>
            <w:r>
              <w:rPr>
                <w:rFonts w:ascii="Arial" w:hAnsi="Arial"/>
                <w:b w:val="0"/>
                <w:color w:val="000000"/>
                <w:sz w:val="22"/>
              </w:rPr>
              <w:t>Perlu disemak</w:t>
            </w:r>
          </w:p>
        </w:tc>
        <w:tc>
          <w:tcPr>
            <w:tcW w:type="dxa" w:w="2948"/>
            <w:vAlign w:val="center"/>
          </w:tcPr>
          <w:p>
            <w:pPr>
              <w:spacing w:line="360" w:lineRule="auto" w:before="0" w:after="0"/>
              <w:jc w:val="left"/>
            </w:pPr>
            <w:r>
              <w:rPr>
                <w:rFonts w:ascii="Arial" w:hAnsi="Arial"/>
                <w:b w:val="0"/>
                <w:color w:val="000000"/>
                <w:sz w:val="22"/>
              </w:rPr>
              <w:t>Dokumentasi / HEM</w:t>
            </w:r>
          </w:p>
        </w:tc>
      </w:tr>
      <w:tr>
        <w:trPr>
          <w:cantSplit/>
        </w:trPr>
        <w:tc>
          <w:tcPr>
            <w:tcW w:type="dxa" w:w="4252"/>
            <w:vAlign w:val="center"/>
          </w:tcPr>
          <w:p>
            <w:pPr>
              <w:spacing w:line="360" w:lineRule="auto" w:before="0" w:after="0"/>
              <w:jc w:val="left"/>
            </w:pPr>
            <w:r>
              <w:rPr>
                <w:rFonts w:ascii="Arial" w:hAnsi="Arial"/>
                <w:b w:val="0"/>
                <w:color w:val="000000"/>
                <w:sz w:val="22"/>
              </w:rPr>
              <w:t>Anggaran kewangan dan dokumen kelulusan</w:t>
            </w:r>
          </w:p>
        </w:tc>
        <w:tc>
          <w:tcPr>
            <w:tcW w:type="dxa" w:w="1984"/>
            <w:vAlign w:val="center"/>
          </w:tcPr>
          <w:p>
            <w:pPr>
              <w:spacing w:line="360" w:lineRule="auto" w:before="0" w:after="0"/>
              <w:jc w:val="left"/>
            </w:pPr>
            <w:r>
              <w:rPr>
                <w:rFonts w:ascii="Arial" w:hAnsi="Arial"/>
                <w:b w:val="0"/>
                <w:color w:val="000000"/>
                <w:sz w:val="22"/>
              </w:rPr>
              <w:t>Belum diluluskan</w:t>
            </w:r>
          </w:p>
        </w:tc>
        <w:tc>
          <w:tcPr>
            <w:tcW w:type="dxa" w:w="2948"/>
            <w:vAlign w:val="center"/>
          </w:tcPr>
          <w:p>
            <w:pPr>
              <w:spacing w:line="360" w:lineRule="auto" w:before="0" w:after="0"/>
              <w:jc w:val="left"/>
            </w:pPr>
            <w:r>
              <w:rPr>
                <w:rFonts w:ascii="Arial" w:hAnsi="Arial"/>
                <w:b w:val="0"/>
                <w:color w:val="000000"/>
                <w:sz w:val="22"/>
              </w:rPr>
              <w:t>Bendahari / pentadbir</w:t>
            </w:r>
          </w:p>
        </w:tc>
      </w:tr>
    </w:tbl>
    <w:p>
      <w:pPr>
        <w:spacing w:line="360" w:lineRule="auto"/>
      </w:pPr>
      <w:r>
        <w:rPr>
          <w:rFonts w:ascii="Arial" w:hAnsi="Arial" w:cs="Arial"/>
          <w:color w:val="000000"/>
          <w:sz w:val="22"/>
        </w:rPr>
        <w:t>RUJUKAN: Jabatan Mufti Wilayah Persekutuan (Irsyad Hukum Siri Ke-959, 7 Julai 2026); Al-Kafi #1050 tentang tatacara pemandian dan penghormatan jenazah; Jabatan Kemajuan Islam Malaysia / IKMAS (contoh kursus teori dan praktikal pengurusan jenazah). Semua butiran fiqh dan amali hendaklah disemak dengan pengajar yang berkelayakan sebelum kursus.</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Kursus Pengurusan Jenazah Peringkat Sekolah 2027</dc:title>
  <dc:subject>Contoh dokumen Word lengkap kursus pengurusan jenazah sekolah</dc:subject>
  <dc:creator>Kertaskerja.com</dc:creator>
  <cp:keywords>kertas kerja pengurusan jenazah; kursus fardu kifayah; contoh kertas kerja sekolah</cp:keywords>
  <dc:description>generated by python-docx</dc:description>
  <cp:lastModifiedBy/>
  <cp:revision>1</cp:revision>
  <dcterms:created xsi:type="dcterms:W3CDTF">2013-12-23T23:15:00Z</dcterms:created>
  <dcterms:modified xsi:type="dcterms:W3CDTF">2013-12-23T23:15:00Z</dcterms:modified>
  <cp:category/>
</cp:coreProperties>
</file>