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80"/>
      </w:pPr>
    </w:p>
    <w:p>
      <w:pPr>
        <w:spacing w:after="180"/>
      </w:pPr>
    </w:p>
    <w:p>
      <w:pPr>
        <w:spacing w:after="180"/>
      </w:pPr>
    </w:p>
    <w:p>
      <w:pPr>
        <w:spacing w:after="180"/>
      </w:pPr>
    </w:p>
    <w:p>
      <w:pPr>
        <w:jc w:val="center"/>
      </w:pPr>
      <w:r>
        <w:rPr>
          <w:b/>
        </w:rPr>
        <w:t>KERTAS KERJA</w:t>
      </w:r>
    </w:p>
    <w:p>
      <w:pPr>
        <w:jc w:val="center"/>
      </w:pPr>
      <w:r>
        <w:rPr>
          <w:b/>
        </w:rPr>
        <w:t>PROGRAM HARI KELUARGA KOMUNITI</w:t>
      </w:r>
    </w:p>
    <w:p>
      <w:pPr>
        <w:jc w:val="center"/>
      </w:pPr>
      <w:r>
        <w:rPr>
          <w:b/>
        </w:rPr>
        <w:t>TAMAN SERI BESTARI 2027</w:t>
      </w:r>
    </w:p>
    <w:p>
      <w:pPr>
        <w:jc w:val="center"/>
      </w:pPr>
      <w:r>
        <w:t>Tema: Keluarga Harmoni, Komuniti Sejahtera</w:t>
      </w:r>
    </w:p>
    <w:p/>
    <w:p/>
    <w:p>
      <w:pPr>
        <w:jc w:val="center"/>
      </w:pPr>
      <w:r>
        <w:t>Tarikh: Sabtu, 19 Jun 2027</w:t>
      </w:r>
    </w:p>
    <w:p>
      <w:pPr>
        <w:jc w:val="center"/>
      </w:pPr>
      <w:r>
        <w:t>Masa: 8.00 pagi – 1.00 tengah hari</w:t>
      </w:r>
    </w:p>
    <w:p>
      <w:pPr>
        <w:jc w:val="center"/>
      </w:pPr>
      <w:r>
        <w:t>Tempat: Dewan Serbaguna dan Padang Komuniti Taman Seri Bestari</w:t>
      </w:r>
    </w:p>
    <w:p>
      <w:pPr>
        <w:jc w:val="center"/>
      </w:pPr>
      <w:r>
        <w:t>Penganjur: Persatuan Penduduk Taman Seri Bestari (rekaan)</w:t>
      </w:r>
    </w:p>
    <w:p>
      <w:pPr>
        <w:jc w:val="center"/>
      </w:pPr>
      <w:r>
        <w:t>Sasaran keseluruhan: 150 orang</w:t>
      </w:r>
    </w:p>
    <w:p/>
    <w:p>
      <w:pPr>
        <w:jc w:val="center"/>
      </w:pPr>
      <w:r>
        <w:rPr>
          <w:b/>
        </w:rPr>
        <w:t>DOKUMEN CONTOH — NAMA PERSATUAN DAN LOKASI ADALAH REKAAN</w:t>
      </w:r>
    </w:p>
    <w:p>
      <w:pPr>
        <w:jc w:val="center"/>
      </w:pPr>
      <w:r>
        <w:t>Tarikh, peserta, pembiayaan, harga dan sumber tajaan dalam dokumen ini merupakan perancangan ilustrasi. Semua butiran perlu disahkan dan mendapat kelulusan penganjur sebelum program dilaksanakan.</w:t>
      </w:r>
    </w:p>
    <w:p>
      <w:r>
        <w:br w:type="page"/>
      </w:r>
    </w:p>
    <w:p>
      <w:pPr>
        <w:pStyle w:val="Heading1"/>
        <w:numPr>
          <w:ilvl w:val="0"/>
          <w:numId w:val="10"/>
        </w:numPr>
      </w:pPr>
      <w:r>
        <w:t>TUJUAN</w:t>
      </w:r>
    </w:p>
    <w:p>
      <w:pPr>
        <w:jc w:val="both"/>
      </w:pPr>
      <w:r>
        <w:t>Kertas kerja ini dikemukakan bagi mendapatkan pertimbangan dan kelulusan Jawatankuasa Persatuan Penduduk Taman Seri Bestari (nama organisasi contoh) untuk melaksanakan Program Hari Keluarga Komuniti 2027. Dokumen ini turut menjelaskan skop aktiviti, anggaran kos, petugas, pengurusan keselamatan dan tindakan susulan.</w:t>
      </w:r>
    </w:p>
    <w:p>
      <w:pPr>
        <w:pStyle w:val="Heading1"/>
        <w:numPr>
          <w:ilvl w:val="0"/>
          <w:numId w:val="10"/>
        </w:numPr>
      </w:pPr>
      <w:r>
        <w:t>PENGENALAN</w:t>
      </w:r>
    </w:p>
    <w:p>
      <w:pPr>
        <w:jc w:val="both"/>
      </w:pPr>
      <w:r>
        <w:t>Hari Keluarga Komuniti ialah program kemasyarakatan yang menghimpunkan penduduk pelbagai peringkat umur melalui aktiviti santai dan kerjasama. Penganjuran ini menyediakan ruang untuk keluarga mengenali jiran, membina semangat kejiranan dan memupuk budaya saling membantu. Pengisian program tidak berasaskan persaingan berat, sebaliknya memberi peluang penyertaan yang adil.</w:t>
      </w:r>
    </w:p>
    <w:p>
      <w:pPr>
        <w:pStyle w:val="Heading1"/>
        <w:numPr>
          <w:ilvl w:val="0"/>
          <w:numId w:val="10"/>
        </w:numPr>
      </w:pPr>
      <w:r>
        <w:t>RASIONAL PROGRAM</w:t>
      </w:r>
    </w:p>
    <w:p>
      <w:pPr>
        <w:jc w:val="both"/>
      </w:pPr>
      <w:r>
        <w:t>Hubungan sesama jiran memerlukan ruang pertemuan yang positif. Aktiviti keluarga dan sukaneka ringan dapat mempertemukan penduduk daripada latar belakang dan generasi berbeza. Program ini juga boleh menjadi saluran mendapatkan cadangan penduduk untuk aktiviti komuniti yang seterusnya, dengan mengambil kira keselamatan, kebolehcapaian dan kapasiti kemudahan awam.</w:t>
      </w:r>
    </w:p>
    <w:p>
      <w:pPr>
        <w:pStyle w:val="Heading1"/>
        <w:numPr>
          <w:ilvl w:val="0"/>
          <w:numId w:val="10"/>
        </w:numPr>
      </w:pPr>
      <w:r>
        <w:t>MATLAMAT DAN OBJEKTIF PROGRAM</w:t>
      </w:r>
    </w:p>
    <w:p>
      <w:pPr>
        <w:jc w:val="both"/>
      </w:pPr>
      <w:r>
        <w:t>Matlamat program adalah mengukuhkan hubungan kekeluargaan dan kerjasama dalam kalangan penduduk melalui aktiviti komuniti yang inklusif, selamat dan terancang.</w:t>
      </w:r>
    </w:p>
    <w:p>
      <w:pPr>
        <w:pStyle w:val="Heading2"/>
        <w:numPr>
          <w:ilvl w:val="1"/>
          <w:numId w:val="10"/>
        </w:numPr>
      </w:pPr>
      <w:r>
        <w:t>Objektif penyertaan</w:t>
      </w:r>
    </w:p>
    <w:p>
      <w:pPr>
        <w:jc w:val="both"/>
      </w:pPr>
      <w:r>
        <w:t>Menyasarkan penglibatan 130 penduduk daripada kira-kira 50 keluarga, dengan sokongan 20 AJK dan sukarelawan yang dilantik.</w:t>
      </w:r>
    </w:p>
    <w:p>
      <w:pPr>
        <w:pStyle w:val="Heading2"/>
        <w:numPr>
          <w:ilvl w:val="1"/>
          <w:numId w:val="10"/>
        </w:numPr>
      </w:pPr>
      <w:r>
        <w:t>Objektif kerjasama keluarga</w:t>
      </w:r>
    </w:p>
    <w:p>
      <w:pPr>
        <w:jc w:val="both"/>
      </w:pPr>
      <w:r>
        <w:t>Melaksanakan empat stesen sukaneka ringan yang melibatkan ahli keluarga berbeza umur dan menyediakan pilihan aktiviti alternatif bagi peserta yang memerlukan penyesuaian.</w:t>
      </w:r>
    </w:p>
    <w:p>
      <w:pPr>
        <w:pStyle w:val="Heading2"/>
        <w:numPr>
          <w:ilvl w:val="1"/>
          <w:numId w:val="10"/>
        </w:numPr>
      </w:pPr>
      <w:r>
        <w:t>Objektif kesinambungan komuniti</w:t>
      </w:r>
    </w:p>
    <w:p>
      <w:pPr>
        <w:jc w:val="both"/>
      </w:pPr>
      <w:r>
        <w:t>Mengumpulkan maklum balas dan cadangan program susulan bagi menggalakkan hubungan kejiranan yang berterusan selepas Hari Keluarga.</w:t>
      </w:r>
    </w:p>
    <w:p>
      <w:pPr>
        <w:pStyle w:val="Heading1"/>
        <w:numPr>
          <w:ilvl w:val="0"/>
          <w:numId w:val="10"/>
        </w:numPr>
      </w:pPr>
      <w:r>
        <w:t>MAKLUMAT PENGANJUR</w:t>
      </w:r>
    </w:p>
    <w:p>
      <w:pPr>
        <w:jc w:val="both"/>
      </w:pPr>
      <w:r>
        <w:t>Penganjur utama ialah Persatuan Penduduk Taman Seri Bestari (organisasi rekaan). Kerjasama dengan Kawasan Rukun Tetangga atau NGO, jika dicadangkan, hanya boleh dinyatakan sebagai penganjur bersama atau penaja selepas persetujuan rasmi diperoleh. Segala perbelanjaan tertakluk kepada keputusan jawatankuasa persatuan.</w:t>
      </w:r>
    </w:p>
    <w:p>
      <w:pPr>
        <w:pStyle w:val="Heading1"/>
        <w:numPr>
          <w:ilvl w:val="0"/>
          <w:numId w:val="10"/>
        </w:numPr>
      </w:pPr>
      <w:r>
        <w:t>SASARAN PESERTA</w:t>
      </w:r>
    </w:p>
    <w:tbl>
      <w:tblPr>
        <w:tblW w:type="auto" w:w="0"/>
        <w:jc w:val="center"/>
        <w:tblLayout w:type="fixed"/>
        <w:tblLook w:firstColumn="1" w:firstRow="1" w:lastColumn="0" w:lastRow="0" w:noHBand="0" w:noVBand="1" w:val="04A0"/>
        <w:tblBorders>
          <w:top w:val="single" w:sz="5" w:color="000000"/>
          <w:left w:val="single" w:sz="5" w:color="000000"/>
          <w:bottom w:val="single" w:sz="5" w:color="000000"/>
          <w:right w:val="single" w:sz="5" w:color="000000"/>
          <w:insideH w:val="single" w:sz="5" w:color="000000"/>
          <w:insideV w:val="single" w:sz="5" w:color="000000"/>
        </w:tblBorders>
      </w:tblPr>
      <w:tblGrid>
        <w:gridCol w:w="6463"/>
        <w:gridCol w:w="2551"/>
      </w:tblGrid>
      <w:tr>
        <w:trPr>
          <w:cantSplit/>
          <w:tblHeader w:val="true"/>
        </w:trPr>
        <w:tc>
          <w:tcPr>
            <w:tcW w:type="dxa" w:w="6463"/>
            <w:vAlign w:val="center"/>
            <w:tcMar>
              <w:top w:w="80" w:type="dxa"/>
              <w:start w:w="96" w:type="dxa"/>
              <w:bottom w:w="80" w:type="dxa"/>
              <w:end w:w="96" w:type="dxa"/>
            </w:tcMar>
          </w:tcPr>
          <w:p>
            <w:pPr>
              <w:spacing w:line="360" w:lineRule="auto" w:before="0" w:after="0"/>
              <w:jc w:val="left"/>
            </w:pPr>
            <w:r>
              <w:rPr>
                <w:rFonts w:ascii="Arial" w:hAnsi="Arial"/>
                <w:b/>
                <w:color w:val="000000"/>
                <w:sz w:val="22"/>
              </w:rPr>
              <w:t>Kategori</w:t>
            </w:r>
          </w:p>
        </w:tc>
        <w:tc>
          <w:tcPr>
            <w:tcW w:type="dxa" w:w="2551"/>
            <w:vAlign w:val="center"/>
            <w:tcMar>
              <w:top w:w="80" w:type="dxa"/>
              <w:start w:w="96" w:type="dxa"/>
              <w:bottom w:w="80" w:type="dxa"/>
              <w:end w:w="96" w:type="dxa"/>
            </w:tcMar>
          </w:tcPr>
          <w:p>
            <w:pPr>
              <w:spacing w:line="360" w:lineRule="auto" w:before="0" w:after="0"/>
              <w:jc w:val="right"/>
            </w:pPr>
            <w:r>
              <w:rPr>
                <w:rFonts w:ascii="Arial" w:hAnsi="Arial"/>
                <w:b/>
                <w:color w:val="000000"/>
                <w:sz w:val="22"/>
              </w:rPr>
              <w:t>Bilangan</w:t>
            </w:r>
          </w:p>
        </w:tc>
      </w:tr>
      <w:tr>
        <w:trPr>
          <w:cantSplit/>
        </w:trPr>
        <w:tc>
          <w:tcPr>
            <w:tcW w:type="dxa" w:w="6463"/>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Penduduk dewasa</w:t>
            </w:r>
          </w:p>
        </w:tc>
        <w:tc>
          <w:tcPr>
            <w:tcW w:type="dxa" w:w="2551"/>
            <w:vAlign w:val="center"/>
            <w:tcMar>
              <w:top w:w="80" w:type="dxa"/>
              <w:start w:w="96" w:type="dxa"/>
              <w:bottom w:w="80" w:type="dxa"/>
              <w:end w:w="96" w:type="dxa"/>
            </w:tcMar>
          </w:tcPr>
          <w:p>
            <w:pPr>
              <w:spacing w:line="360" w:lineRule="auto" w:before="0" w:after="0"/>
              <w:jc w:val="right"/>
            </w:pPr>
            <w:r>
              <w:rPr>
                <w:rFonts w:ascii="Arial" w:hAnsi="Arial"/>
                <w:b w:val="0"/>
                <w:color w:val="000000"/>
                <w:sz w:val="22"/>
              </w:rPr>
              <w:t>80</w:t>
            </w:r>
          </w:p>
        </w:tc>
      </w:tr>
      <w:tr>
        <w:trPr>
          <w:cantSplit/>
        </w:trPr>
        <w:tc>
          <w:tcPr>
            <w:tcW w:type="dxa" w:w="6463"/>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Kanak-kanak bersama keluarga</w:t>
            </w:r>
          </w:p>
        </w:tc>
        <w:tc>
          <w:tcPr>
            <w:tcW w:type="dxa" w:w="2551"/>
            <w:vAlign w:val="center"/>
            <w:tcMar>
              <w:top w:w="80" w:type="dxa"/>
              <w:start w:w="96" w:type="dxa"/>
              <w:bottom w:w="80" w:type="dxa"/>
              <w:end w:w="96" w:type="dxa"/>
            </w:tcMar>
          </w:tcPr>
          <w:p>
            <w:pPr>
              <w:spacing w:line="360" w:lineRule="auto" w:before="0" w:after="0"/>
              <w:jc w:val="right"/>
            </w:pPr>
            <w:r>
              <w:rPr>
                <w:rFonts w:ascii="Arial" w:hAnsi="Arial"/>
                <w:b w:val="0"/>
                <w:color w:val="000000"/>
                <w:sz w:val="22"/>
              </w:rPr>
              <w:t>50</w:t>
            </w:r>
          </w:p>
        </w:tc>
      </w:tr>
      <w:tr>
        <w:trPr>
          <w:cantSplit/>
        </w:trPr>
        <w:tc>
          <w:tcPr>
            <w:tcW w:type="dxa" w:w="6463"/>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AJK / sukarelawan (termasuk petugas stesen)</w:t>
            </w:r>
          </w:p>
        </w:tc>
        <w:tc>
          <w:tcPr>
            <w:tcW w:type="dxa" w:w="2551"/>
            <w:vAlign w:val="center"/>
            <w:tcMar>
              <w:top w:w="80" w:type="dxa"/>
              <w:start w:w="96" w:type="dxa"/>
              <w:bottom w:w="80" w:type="dxa"/>
              <w:end w:w="96" w:type="dxa"/>
            </w:tcMar>
          </w:tcPr>
          <w:p>
            <w:pPr>
              <w:spacing w:line="360" w:lineRule="auto" w:before="0" w:after="0"/>
              <w:jc w:val="right"/>
            </w:pPr>
            <w:r>
              <w:rPr>
                <w:rFonts w:ascii="Arial" w:hAnsi="Arial"/>
                <w:b w:val="0"/>
                <w:color w:val="000000"/>
                <w:sz w:val="22"/>
              </w:rPr>
              <w:t>20</w:t>
            </w:r>
          </w:p>
        </w:tc>
      </w:tr>
      <w:tr>
        <w:trPr>
          <w:cantSplit/>
        </w:trPr>
        <w:tc>
          <w:tcPr>
            <w:tcW w:type="dxa" w:w="6463"/>
            <w:vAlign w:val="center"/>
            <w:tcMar>
              <w:top w:w="80" w:type="dxa"/>
              <w:start w:w="96" w:type="dxa"/>
              <w:bottom w:w="80" w:type="dxa"/>
              <w:end w:w="96" w:type="dxa"/>
            </w:tcMar>
          </w:tcPr>
          <w:p>
            <w:pPr>
              <w:spacing w:line="360" w:lineRule="auto" w:before="0" w:after="0"/>
              <w:jc w:val="left"/>
            </w:pPr>
            <w:r>
              <w:rPr>
                <w:rFonts w:ascii="Arial" w:hAnsi="Arial"/>
                <w:b/>
                <w:color w:val="000000"/>
                <w:sz w:val="22"/>
              </w:rPr>
              <w:t>JUMLAH</w:t>
            </w:r>
          </w:p>
        </w:tc>
        <w:tc>
          <w:tcPr>
            <w:tcW w:type="dxa" w:w="2551"/>
            <w:vAlign w:val="center"/>
            <w:tcMar>
              <w:top w:w="80" w:type="dxa"/>
              <w:start w:w="96" w:type="dxa"/>
              <w:bottom w:w="80" w:type="dxa"/>
              <w:end w:w="96" w:type="dxa"/>
            </w:tcMar>
          </w:tcPr>
          <w:p>
            <w:pPr>
              <w:spacing w:line="360" w:lineRule="auto" w:before="0" w:after="0"/>
              <w:jc w:val="right"/>
            </w:pPr>
            <w:r>
              <w:rPr>
                <w:rFonts w:ascii="Arial" w:hAnsi="Arial"/>
                <w:b/>
                <w:color w:val="000000"/>
                <w:sz w:val="22"/>
              </w:rPr>
              <w:t>150</w:t>
            </w:r>
          </w:p>
        </w:tc>
      </w:tr>
    </w:tbl>
    <w:p>
      <w:pPr>
        <w:spacing w:after="0"/>
      </w:pPr>
    </w:p>
    <w:p>
      <w:pPr>
        <w:jc w:val="both"/>
      </w:pPr>
      <w:r>
        <w:t>Daripada 150 orang keseluruhan, 130 orang merupakan peserta aktiviti keluarga. Dua puluh petugas melaksanakan urusan pendaftaran, stesen, kebajikan, keselamatan, makanan dan dokumentasi. Kanak-kanak hendaklah berada di bawah pengawasan penjaga atau petugas yang diberi kuasa.</w:t>
      </w:r>
    </w:p>
    <w:p>
      <w:pPr>
        <w:pStyle w:val="Heading1"/>
        <w:numPr>
          <w:ilvl w:val="0"/>
          <w:numId w:val="10"/>
        </w:numPr>
      </w:pPr>
      <w:r>
        <w:t>BUTIRAN PROGRAM</w:t>
      </w:r>
    </w:p>
    <w:tbl>
      <w:tblPr>
        <w:tblW w:type="auto" w:w="0"/>
        <w:jc w:val="center"/>
        <w:tblLayout w:type="fixed"/>
        <w:tblLook w:firstColumn="1" w:firstRow="1" w:lastColumn="0" w:lastRow="0" w:noHBand="0" w:noVBand="1" w:val="04A0"/>
        <w:tblBorders>
          <w:top w:val="single" w:sz="5" w:color="000000"/>
          <w:left w:val="single" w:sz="5" w:color="000000"/>
          <w:bottom w:val="single" w:sz="5" w:color="000000"/>
          <w:right w:val="single" w:sz="5" w:color="000000"/>
          <w:insideH w:val="single" w:sz="5" w:color="000000"/>
          <w:insideV w:val="single" w:sz="5" w:color="000000"/>
        </w:tblBorders>
      </w:tblPr>
      <w:tblGrid>
        <w:gridCol w:w="2494"/>
        <w:gridCol w:w="6520"/>
      </w:tblGrid>
      <w:tr>
        <w:trPr>
          <w:cantSplit/>
          <w:tblHeader w:val="true"/>
        </w:trPr>
        <w:tc>
          <w:tcPr>
            <w:tcW w:type="dxa" w:w="2494"/>
            <w:vAlign w:val="center"/>
            <w:tcMar>
              <w:top w:w="80" w:type="dxa"/>
              <w:start w:w="96" w:type="dxa"/>
              <w:bottom w:w="80" w:type="dxa"/>
              <w:end w:w="96" w:type="dxa"/>
            </w:tcMar>
          </w:tcPr>
          <w:p>
            <w:pPr>
              <w:spacing w:line="360" w:lineRule="auto" w:before="0" w:after="0"/>
              <w:jc w:val="left"/>
            </w:pPr>
            <w:r>
              <w:rPr>
                <w:rFonts w:ascii="Arial" w:hAnsi="Arial"/>
                <w:b/>
                <w:color w:val="000000"/>
                <w:sz w:val="22"/>
              </w:rPr>
              <w:t>Perkara</w:t>
            </w:r>
          </w:p>
        </w:tc>
        <w:tc>
          <w:tcPr>
            <w:tcW w:type="dxa" w:w="6520"/>
            <w:vAlign w:val="center"/>
            <w:tcMar>
              <w:top w:w="80" w:type="dxa"/>
              <w:start w:w="96" w:type="dxa"/>
              <w:bottom w:w="80" w:type="dxa"/>
              <w:end w:w="96" w:type="dxa"/>
            </w:tcMar>
          </w:tcPr>
          <w:p>
            <w:pPr>
              <w:spacing w:line="360" w:lineRule="auto" w:before="0" w:after="0"/>
              <w:jc w:val="left"/>
            </w:pPr>
            <w:r>
              <w:rPr>
                <w:rFonts w:ascii="Arial" w:hAnsi="Arial"/>
                <w:b/>
                <w:color w:val="000000"/>
                <w:sz w:val="22"/>
              </w:rPr>
              <w:t>Butiran</w:t>
            </w:r>
          </w:p>
        </w:tc>
      </w:tr>
      <w:tr>
        <w:trPr>
          <w:cantSplit/>
        </w:trPr>
        <w:tc>
          <w:tcPr>
            <w:tcW w:type="dxa" w:w="2494"/>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Nama program</w:t>
            </w:r>
          </w:p>
        </w:tc>
        <w:tc>
          <w:tcPr>
            <w:tcW w:type="dxa" w:w="6520"/>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Hari Keluarga Komuniti Taman Seri Bestari 2027</w:t>
            </w:r>
          </w:p>
        </w:tc>
      </w:tr>
      <w:tr>
        <w:trPr>
          <w:cantSplit/>
        </w:trPr>
        <w:tc>
          <w:tcPr>
            <w:tcW w:type="dxa" w:w="2494"/>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Tema</w:t>
            </w:r>
          </w:p>
        </w:tc>
        <w:tc>
          <w:tcPr>
            <w:tcW w:type="dxa" w:w="6520"/>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Keluarga Harmoni, Komuniti Sejahtera</w:t>
            </w:r>
          </w:p>
        </w:tc>
      </w:tr>
      <w:tr>
        <w:trPr>
          <w:cantSplit/>
        </w:trPr>
        <w:tc>
          <w:tcPr>
            <w:tcW w:type="dxa" w:w="2494"/>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Tarikh cadangan</w:t>
            </w:r>
          </w:p>
        </w:tc>
        <w:tc>
          <w:tcPr>
            <w:tcW w:type="dxa" w:w="6520"/>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Sabtu, 19 Jun 2027</w:t>
            </w:r>
          </w:p>
        </w:tc>
      </w:tr>
      <w:tr>
        <w:trPr>
          <w:cantSplit/>
        </w:trPr>
        <w:tc>
          <w:tcPr>
            <w:tcW w:type="dxa" w:w="2494"/>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Masa peserta</w:t>
            </w:r>
          </w:p>
        </w:tc>
        <w:tc>
          <w:tcPr>
            <w:tcW w:type="dxa" w:w="6520"/>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8.00 pagi hingga 1.00 tengah hari</w:t>
            </w:r>
          </w:p>
        </w:tc>
      </w:tr>
      <w:tr>
        <w:trPr>
          <w:cantSplit/>
        </w:trPr>
        <w:tc>
          <w:tcPr>
            <w:tcW w:type="dxa" w:w="2494"/>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Tempat</w:t>
            </w:r>
          </w:p>
        </w:tc>
        <w:tc>
          <w:tcPr>
            <w:tcW w:type="dxa" w:w="6520"/>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Dewan Serbaguna dan Padang Komuniti Taman Seri Bestari (lokasi rekaan)</w:t>
            </w:r>
          </w:p>
        </w:tc>
      </w:tr>
      <w:tr>
        <w:trPr>
          <w:cantSplit/>
        </w:trPr>
        <w:tc>
          <w:tcPr>
            <w:tcW w:type="dxa" w:w="2494"/>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Bilangan keseluruhan</w:t>
            </w:r>
          </w:p>
        </w:tc>
        <w:tc>
          <w:tcPr>
            <w:tcW w:type="dxa" w:w="6520"/>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150 orang</w:t>
            </w:r>
          </w:p>
        </w:tc>
      </w:tr>
      <w:tr>
        <w:trPr>
          <w:cantSplit/>
        </w:trPr>
        <w:tc>
          <w:tcPr>
            <w:tcW w:type="dxa" w:w="2494"/>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Kaedah</w:t>
            </w:r>
          </w:p>
        </w:tc>
        <w:tc>
          <w:tcPr>
            <w:tcW w:type="dxa" w:w="6520"/>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Sesi pengenalan, aktiviti berstesen, kuiz keluarga, penghargaan dan jamuan</w:t>
            </w:r>
          </w:p>
        </w:tc>
      </w:tr>
    </w:tbl>
    <w:p>
      <w:pPr>
        <w:spacing w:after="0"/>
      </w:pPr>
    </w:p>
    <w:p>
      <w:pPr>
        <w:pStyle w:val="Heading1"/>
        <w:numPr>
          <w:ilvl w:val="0"/>
          <w:numId w:val="10"/>
        </w:numPr>
      </w:pPr>
      <w:r>
        <w:t>CADANGAN AKTIVITI DAN TENTATIF</w:t>
      </w:r>
    </w:p>
    <w:p>
      <w:pPr>
        <w:pStyle w:val="Heading2"/>
        <w:numPr>
          <w:ilvl w:val="1"/>
          <w:numId w:val="10"/>
        </w:numPr>
      </w:pPr>
      <w:r>
        <w:t>Aktiviti sukaneka berstesen</w:t>
      </w:r>
    </w:p>
    <w:p>
      <w:pPr>
        <w:jc w:val="both"/>
      </w:pPr>
      <w:r>
        <w:t>Seramai 130 peserta penduduk dibahagikan kepada empat pasukan campuran: A (33), B (33), C (32) dan D (32). Setiap kumpulan menjalani empat aktiviti secara bergilir. Setiap pusingan selama 20 minit, termasuk pertukaran tempat, bagi memastikan keseluruhan sesi berstesen berlangsung selama 80 minit.</w:t>
      </w:r>
    </w:p>
    <w:tbl>
      <w:tblPr>
        <w:tblW w:type="auto" w:w="0"/>
        <w:jc w:val="center"/>
        <w:tblLayout w:type="fixed"/>
        <w:tblLook w:firstColumn="1" w:firstRow="1" w:lastColumn="0" w:lastRow="0" w:noHBand="0" w:noVBand="1" w:val="04A0"/>
        <w:tblBorders>
          <w:top w:val="single" w:sz="5" w:color="000000"/>
          <w:left w:val="single" w:sz="5" w:color="000000"/>
          <w:bottom w:val="single" w:sz="5" w:color="000000"/>
          <w:right w:val="single" w:sz="5" w:color="000000"/>
          <w:insideH w:val="single" w:sz="5" w:color="000000"/>
          <w:insideV w:val="single" w:sz="5" w:color="000000"/>
        </w:tblBorders>
      </w:tblPr>
      <w:tblGrid>
        <w:gridCol w:w="1134"/>
        <w:gridCol w:w="3005"/>
        <w:gridCol w:w="4876"/>
      </w:tblGrid>
      <w:tr>
        <w:trPr>
          <w:cantSplit/>
          <w:tblHeader w:val="true"/>
        </w:trPr>
        <w:tc>
          <w:tcPr>
            <w:tcW w:type="dxa" w:w="1134"/>
            <w:vAlign w:val="center"/>
            <w:tcMar>
              <w:top w:w="80" w:type="dxa"/>
              <w:start w:w="96" w:type="dxa"/>
              <w:bottom w:w="80" w:type="dxa"/>
              <w:end w:w="96" w:type="dxa"/>
            </w:tcMar>
          </w:tcPr>
          <w:p>
            <w:pPr>
              <w:spacing w:line="360" w:lineRule="auto" w:before="0" w:after="0"/>
              <w:jc w:val="left"/>
            </w:pPr>
            <w:r>
              <w:rPr>
                <w:rFonts w:ascii="Arial" w:hAnsi="Arial"/>
                <w:b/>
                <w:color w:val="000000"/>
                <w:sz w:val="22"/>
              </w:rPr>
              <w:t>Stesen</w:t>
            </w:r>
          </w:p>
        </w:tc>
        <w:tc>
          <w:tcPr>
            <w:tcW w:type="dxa" w:w="3005"/>
            <w:vAlign w:val="center"/>
            <w:tcMar>
              <w:top w:w="80" w:type="dxa"/>
              <w:start w:w="96" w:type="dxa"/>
              <w:bottom w:w="80" w:type="dxa"/>
              <w:end w:w="96" w:type="dxa"/>
            </w:tcMar>
          </w:tcPr>
          <w:p>
            <w:pPr>
              <w:spacing w:line="360" w:lineRule="auto" w:before="0" w:after="0"/>
              <w:jc w:val="left"/>
            </w:pPr>
            <w:r>
              <w:rPr>
                <w:rFonts w:ascii="Arial" w:hAnsi="Arial"/>
                <w:b/>
                <w:color w:val="000000"/>
                <w:sz w:val="22"/>
              </w:rPr>
              <w:t>Aktiviti</w:t>
            </w:r>
          </w:p>
        </w:tc>
        <w:tc>
          <w:tcPr>
            <w:tcW w:type="dxa" w:w="4876"/>
            <w:vAlign w:val="center"/>
            <w:tcMar>
              <w:top w:w="80" w:type="dxa"/>
              <w:start w:w="96" w:type="dxa"/>
              <w:bottom w:w="80" w:type="dxa"/>
              <w:end w:w="96" w:type="dxa"/>
            </w:tcMar>
          </w:tcPr>
          <w:p>
            <w:pPr>
              <w:spacing w:line="360" w:lineRule="auto" w:before="0" w:after="0"/>
              <w:jc w:val="left"/>
            </w:pPr>
            <w:r>
              <w:rPr>
                <w:rFonts w:ascii="Arial" w:hAnsi="Arial"/>
                <w:b/>
                <w:color w:val="000000"/>
                <w:sz w:val="22"/>
              </w:rPr>
              <w:t>Penyesuaian</w:t>
            </w:r>
          </w:p>
        </w:tc>
      </w:tr>
      <w:tr>
        <w:trPr>
          <w:cantSplit/>
        </w:trPr>
        <w:tc>
          <w:tcPr>
            <w:tcW w:type="dxa" w:w="1134"/>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1</w:t>
            </w:r>
          </w:p>
        </w:tc>
        <w:tc>
          <w:tcPr>
            <w:tcW w:type="dxa" w:w="3005"/>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Puzzle Komuniti</w:t>
            </w:r>
          </w:p>
        </w:tc>
        <w:tc>
          <w:tcPr>
            <w:tcW w:type="dxa" w:w="4876"/>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Boleh disertai pelbagai umur</w:t>
            </w:r>
          </w:p>
        </w:tc>
      </w:tr>
      <w:tr>
        <w:trPr>
          <w:cantSplit/>
        </w:trPr>
        <w:tc>
          <w:tcPr>
            <w:tcW w:type="dxa" w:w="1134"/>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2</w:t>
            </w:r>
          </w:p>
        </w:tc>
        <w:tc>
          <w:tcPr>
            <w:tcW w:type="dxa" w:w="3005"/>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Bola dalam Bakul</w:t>
            </w:r>
          </w:p>
        </w:tc>
        <w:tc>
          <w:tcPr>
            <w:tcW w:type="dxa" w:w="4876"/>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Gunakan bola lembut; pilihan permainan duduk</w:t>
            </w:r>
          </w:p>
        </w:tc>
      </w:tr>
      <w:tr>
        <w:trPr>
          <w:cantSplit/>
        </w:trPr>
        <w:tc>
          <w:tcPr>
            <w:tcW w:type="dxa" w:w="1134"/>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3</w:t>
            </w:r>
          </w:p>
        </w:tc>
        <w:tc>
          <w:tcPr>
            <w:tcW w:type="dxa" w:w="3005"/>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Relay Kreatif</w:t>
            </w:r>
          </w:p>
        </w:tc>
        <w:tc>
          <w:tcPr>
            <w:tcW w:type="dxa" w:w="4876"/>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Menyusun objek ringan tanpa larian pantas</w:t>
            </w:r>
          </w:p>
        </w:tc>
      </w:tr>
      <w:tr>
        <w:trPr>
          <w:cantSplit/>
        </w:trPr>
        <w:tc>
          <w:tcPr>
            <w:tcW w:type="dxa" w:w="1134"/>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4</w:t>
            </w:r>
          </w:p>
        </w:tc>
        <w:tc>
          <w:tcPr>
            <w:tcW w:type="dxa" w:w="3005"/>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Kuiz Keluarga</w:t>
            </w:r>
          </w:p>
        </w:tc>
        <w:tc>
          <w:tcPr>
            <w:tcW w:type="dxa" w:w="4876"/>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Soalan kejiranan, keselamatan dan nilai murni</w:t>
            </w:r>
          </w:p>
        </w:tc>
      </w:tr>
    </w:tbl>
    <w:p>
      <w:pPr>
        <w:spacing w:after="0"/>
      </w:pPr>
    </w:p>
    <w:p>
      <w:pPr>
        <w:pStyle w:val="Heading2"/>
        <w:numPr>
          <w:ilvl w:val="1"/>
          <w:numId w:val="10"/>
        </w:numPr>
      </w:pPr>
      <w:r>
        <w:t>Tentatif program</w:t>
      </w:r>
    </w:p>
    <w:tbl>
      <w:tblPr>
        <w:tblW w:type="auto" w:w="0"/>
        <w:jc w:val="center"/>
        <w:tblLayout w:type="fixed"/>
        <w:tblLook w:firstColumn="1" w:firstRow="1" w:lastColumn="0" w:lastRow="0" w:noHBand="0" w:noVBand="1" w:val="04A0"/>
        <w:tblBorders>
          <w:top w:val="single" w:sz="5" w:color="000000"/>
          <w:left w:val="single" w:sz="5" w:color="000000"/>
          <w:bottom w:val="single" w:sz="5" w:color="000000"/>
          <w:right w:val="single" w:sz="5" w:color="000000"/>
          <w:insideH w:val="single" w:sz="5" w:color="000000"/>
          <w:insideV w:val="single" w:sz="5" w:color="000000"/>
        </w:tblBorders>
      </w:tblPr>
      <w:tblGrid>
        <w:gridCol w:w="2608"/>
        <w:gridCol w:w="6406"/>
      </w:tblGrid>
      <w:tr>
        <w:trPr>
          <w:cantSplit/>
          <w:tblHeader w:val="true"/>
        </w:trPr>
        <w:tc>
          <w:tcPr>
            <w:tcW w:type="dxa" w:w="2608"/>
            <w:vAlign w:val="center"/>
            <w:tcMar>
              <w:top w:w="80" w:type="dxa"/>
              <w:start w:w="96" w:type="dxa"/>
              <w:bottom w:w="80" w:type="dxa"/>
              <w:end w:w="96" w:type="dxa"/>
            </w:tcMar>
          </w:tcPr>
          <w:p>
            <w:pPr>
              <w:spacing w:line="360" w:lineRule="auto" w:before="0" w:after="0"/>
              <w:jc w:val="left"/>
            </w:pPr>
            <w:r>
              <w:rPr>
                <w:rFonts w:ascii="Arial" w:hAnsi="Arial"/>
                <w:b/>
                <w:color w:val="000000"/>
                <w:sz w:val="22"/>
              </w:rPr>
              <w:t>Masa</w:t>
            </w:r>
          </w:p>
        </w:tc>
        <w:tc>
          <w:tcPr>
            <w:tcW w:type="dxa" w:w="6406"/>
            <w:vAlign w:val="center"/>
            <w:tcMar>
              <w:top w:w="80" w:type="dxa"/>
              <w:start w:w="96" w:type="dxa"/>
              <w:bottom w:w="80" w:type="dxa"/>
              <w:end w:w="96" w:type="dxa"/>
            </w:tcMar>
          </w:tcPr>
          <w:p>
            <w:pPr>
              <w:spacing w:line="360" w:lineRule="auto" w:before="0" w:after="0"/>
              <w:jc w:val="left"/>
            </w:pPr>
            <w:r>
              <w:rPr>
                <w:rFonts w:ascii="Arial" w:hAnsi="Arial"/>
                <w:b/>
                <w:color w:val="000000"/>
                <w:sz w:val="22"/>
              </w:rPr>
              <w:t>Aktiviti</w:t>
            </w:r>
          </w:p>
        </w:tc>
      </w:tr>
      <w:tr>
        <w:trPr>
          <w:cantSplit/>
        </w:trPr>
        <w:tc>
          <w:tcPr>
            <w:tcW w:type="dxa" w:w="2608"/>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7.00–8.00 pagi</w:t>
            </w:r>
          </w:p>
        </w:tc>
        <w:tc>
          <w:tcPr>
            <w:tcW w:type="dxa" w:w="6406"/>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Persediaan AJK, pemeriksaan lokasi, audio, peralatan dan makanan</w:t>
            </w:r>
          </w:p>
        </w:tc>
      </w:tr>
      <w:tr>
        <w:trPr>
          <w:cantSplit/>
        </w:trPr>
        <w:tc>
          <w:tcPr>
            <w:tcW w:type="dxa" w:w="2608"/>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8.00–8.30 pagi</w:t>
            </w:r>
          </w:p>
        </w:tc>
        <w:tc>
          <w:tcPr>
            <w:tcW w:type="dxa" w:w="6406"/>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Pendaftaran peserta dan pembahagian kumpulan keluarga</w:t>
            </w:r>
          </w:p>
        </w:tc>
      </w:tr>
      <w:tr>
        <w:trPr>
          <w:cantSplit/>
        </w:trPr>
        <w:tc>
          <w:tcPr>
            <w:tcW w:type="dxa" w:w="2608"/>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8.30–8.45 pagi</w:t>
            </w:r>
          </w:p>
        </w:tc>
        <w:tc>
          <w:tcPr>
            <w:tcW w:type="dxa" w:w="6406"/>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Ucapan ringkas, taklimat keselamatan dan regangan</w:t>
            </w:r>
          </w:p>
        </w:tc>
      </w:tr>
      <w:tr>
        <w:trPr>
          <w:cantSplit/>
        </w:trPr>
        <w:tc>
          <w:tcPr>
            <w:tcW w:type="dxa" w:w="2608"/>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8.45–9.05 pagi</w:t>
            </w:r>
          </w:p>
        </w:tc>
        <w:tc>
          <w:tcPr>
            <w:tcW w:type="dxa" w:w="6406"/>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Penerangan stesen, peraturan serta aliran peserta</w:t>
            </w:r>
          </w:p>
        </w:tc>
      </w:tr>
      <w:tr>
        <w:trPr>
          <w:cantSplit/>
        </w:trPr>
        <w:tc>
          <w:tcPr>
            <w:tcW w:type="dxa" w:w="2608"/>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9.05–10.25 pagi</w:t>
            </w:r>
          </w:p>
        </w:tc>
        <w:tc>
          <w:tcPr>
            <w:tcW w:type="dxa" w:w="6406"/>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Empat pusingan aktiviti sukaneka (20 minit setiap pusingan)</w:t>
            </w:r>
          </w:p>
        </w:tc>
      </w:tr>
      <w:tr>
        <w:trPr>
          <w:cantSplit/>
        </w:trPr>
        <w:tc>
          <w:tcPr>
            <w:tcW w:type="dxa" w:w="2608"/>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10.25–10.45 pagi</w:t>
            </w:r>
          </w:p>
        </w:tc>
        <w:tc>
          <w:tcPr>
            <w:tcW w:type="dxa" w:w="6406"/>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Rehat, air minuman dan kebajikan peserta</w:t>
            </w:r>
          </w:p>
        </w:tc>
      </w:tr>
      <w:tr>
        <w:trPr>
          <w:cantSplit/>
        </w:trPr>
        <w:tc>
          <w:tcPr>
            <w:tcW w:type="dxa" w:w="2608"/>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10.45–11.30 pagi</w:t>
            </w:r>
          </w:p>
        </w:tc>
        <w:tc>
          <w:tcPr>
            <w:tcW w:type="dxa" w:w="6406"/>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Kuiz komuniti, aktiviti keluarga dan persembahan sukarela</w:t>
            </w:r>
          </w:p>
        </w:tc>
      </w:tr>
      <w:tr>
        <w:trPr>
          <w:cantSplit/>
        </w:trPr>
        <w:tc>
          <w:tcPr>
            <w:tcW w:type="dxa" w:w="2608"/>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11.30 pagi–12.00 tengah hari</w:t>
            </w:r>
          </w:p>
        </w:tc>
        <w:tc>
          <w:tcPr>
            <w:tcW w:type="dxa" w:w="6406"/>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Penyampaian hadiah dan penghargaan</w:t>
            </w:r>
          </w:p>
        </w:tc>
      </w:tr>
      <w:tr>
        <w:trPr>
          <w:cantSplit/>
        </w:trPr>
        <w:tc>
          <w:tcPr>
            <w:tcW w:type="dxa" w:w="2608"/>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12.00–12.45 tengah hari</w:t>
            </w:r>
          </w:p>
        </w:tc>
        <w:tc>
          <w:tcPr>
            <w:tcW w:type="dxa" w:w="6406"/>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Jamuan bersama</w:t>
            </w:r>
          </w:p>
        </w:tc>
      </w:tr>
      <w:tr>
        <w:trPr>
          <w:cantSplit/>
        </w:trPr>
        <w:tc>
          <w:tcPr>
            <w:tcW w:type="dxa" w:w="2608"/>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12.45–1.00 tengah hari</w:t>
            </w:r>
          </w:p>
        </w:tc>
        <w:tc>
          <w:tcPr>
            <w:tcW w:type="dxa" w:w="6406"/>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Rumusan, maklum balas dan bersurai</w:t>
            </w:r>
          </w:p>
        </w:tc>
      </w:tr>
      <w:tr>
        <w:trPr>
          <w:cantSplit/>
        </w:trPr>
        <w:tc>
          <w:tcPr>
            <w:tcW w:type="dxa" w:w="2608"/>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1.00–1.30 tengah hari</w:t>
            </w:r>
          </w:p>
        </w:tc>
        <w:tc>
          <w:tcPr>
            <w:tcW w:type="dxa" w:w="6406"/>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Kemas kawasan, inventori dan laporan ringkas petugas</w:t>
            </w:r>
          </w:p>
        </w:tc>
      </w:tr>
    </w:tbl>
    <w:p>
      <w:pPr>
        <w:spacing w:after="0"/>
      </w:pPr>
    </w:p>
    <w:p>
      <w:pPr>
        <w:pStyle w:val="Heading1"/>
        <w:numPr>
          <w:ilvl w:val="0"/>
          <w:numId w:val="10"/>
        </w:numPr>
      </w:pPr>
      <w:r>
        <w:t>JAWATANKUASA PELAKSANA</w:t>
      </w:r>
    </w:p>
    <w:tbl>
      <w:tblPr>
        <w:tblW w:type="auto" w:w="0"/>
        <w:jc w:val="center"/>
        <w:tblLayout w:type="fixed"/>
        <w:tblLook w:firstColumn="1" w:firstRow="1" w:lastColumn="0" w:lastRow="0" w:noHBand="0" w:noVBand="1" w:val="04A0"/>
        <w:tblBorders>
          <w:top w:val="single" w:sz="5" w:color="000000"/>
          <w:left w:val="single" w:sz="5" w:color="000000"/>
          <w:bottom w:val="single" w:sz="5" w:color="000000"/>
          <w:right w:val="single" w:sz="5" w:color="000000"/>
          <w:insideH w:val="single" w:sz="5" w:color="000000"/>
          <w:insideV w:val="single" w:sz="5" w:color="000000"/>
        </w:tblBorders>
      </w:tblPr>
      <w:tblGrid>
        <w:gridCol w:w="3061"/>
        <w:gridCol w:w="5953"/>
      </w:tblGrid>
      <w:tr>
        <w:trPr>
          <w:cantSplit/>
          <w:tblHeader w:val="true"/>
        </w:trPr>
        <w:tc>
          <w:tcPr>
            <w:tcW w:type="dxa" w:w="3061"/>
            <w:vAlign w:val="center"/>
            <w:tcMar>
              <w:top w:w="80" w:type="dxa"/>
              <w:start w:w="96" w:type="dxa"/>
              <w:bottom w:w="80" w:type="dxa"/>
              <w:end w:w="96" w:type="dxa"/>
            </w:tcMar>
          </w:tcPr>
          <w:p>
            <w:pPr>
              <w:spacing w:line="360" w:lineRule="auto" w:before="0" w:after="0"/>
              <w:jc w:val="left"/>
            </w:pPr>
            <w:r>
              <w:rPr>
                <w:rFonts w:ascii="Arial" w:hAnsi="Arial"/>
                <w:b/>
                <w:color w:val="000000"/>
                <w:sz w:val="22"/>
              </w:rPr>
              <w:t>Jawatankuasa / Unit</w:t>
            </w:r>
          </w:p>
        </w:tc>
        <w:tc>
          <w:tcPr>
            <w:tcW w:type="dxa" w:w="5953"/>
            <w:vAlign w:val="center"/>
            <w:tcMar>
              <w:top w:w="80" w:type="dxa"/>
              <w:start w:w="96" w:type="dxa"/>
              <w:bottom w:w="80" w:type="dxa"/>
              <w:end w:w="96" w:type="dxa"/>
            </w:tcMar>
          </w:tcPr>
          <w:p>
            <w:pPr>
              <w:spacing w:line="360" w:lineRule="auto" w:before="0" w:after="0"/>
              <w:jc w:val="left"/>
            </w:pPr>
            <w:r>
              <w:rPr>
                <w:rFonts w:ascii="Arial" w:hAnsi="Arial"/>
                <w:b/>
                <w:color w:val="000000"/>
                <w:sz w:val="22"/>
              </w:rPr>
              <w:t>Bidang tugas utama</w:t>
            </w:r>
          </w:p>
        </w:tc>
      </w:tr>
      <w:tr>
        <w:trPr>
          <w:cantSplit/>
        </w:trPr>
        <w:tc>
          <w:tcPr>
            <w:tcW w:type="dxa" w:w="3061"/>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Pengerusi / Penyelaras</w:t>
            </w:r>
          </w:p>
        </w:tc>
        <w:tc>
          <w:tcPr>
            <w:tcW w:type="dxa" w:w="5953"/>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Kelulusan dalaman dan penyelarasan keseluruhan</w:t>
            </w:r>
          </w:p>
        </w:tc>
      </w:tr>
      <w:tr>
        <w:trPr>
          <w:cantSplit/>
        </w:trPr>
        <w:tc>
          <w:tcPr>
            <w:tcW w:type="dxa" w:w="3061"/>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Setiausaha dan Pendaftaran</w:t>
            </w:r>
          </w:p>
        </w:tc>
        <w:tc>
          <w:tcPr>
            <w:tcW w:type="dxa" w:w="5953"/>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Hebahan, rekod kehadiran, pembahagian pasukan serta laporan</w:t>
            </w:r>
          </w:p>
        </w:tc>
      </w:tr>
      <w:tr>
        <w:trPr>
          <w:cantSplit/>
        </w:trPr>
        <w:tc>
          <w:tcPr>
            <w:tcW w:type="dxa" w:w="3061"/>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Ketua Stesen 1–4</w:t>
            </w:r>
          </w:p>
        </w:tc>
        <w:tc>
          <w:tcPr>
            <w:tcW w:type="dxa" w:w="5953"/>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Peralatan, kawalan aktiviti, skor jika perlu, dan giliran peserta</w:t>
            </w:r>
          </w:p>
        </w:tc>
      </w:tr>
      <w:tr>
        <w:trPr>
          <w:cantSplit/>
        </w:trPr>
        <w:tc>
          <w:tcPr>
            <w:tcW w:type="dxa" w:w="3061"/>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Keselamatan dan Kebajikan</w:t>
            </w:r>
          </w:p>
        </w:tc>
        <w:tc>
          <w:tcPr>
            <w:tcW w:type="dxa" w:w="5953"/>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Semakan lokasi, cuaca, kecemasan dan akses</w:t>
            </w:r>
          </w:p>
        </w:tc>
      </w:tr>
      <w:tr>
        <w:trPr>
          <w:cantSplit/>
        </w:trPr>
        <w:tc>
          <w:tcPr>
            <w:tcW w:type="dxa" w:w="3061"/>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Logistik dan Teknikal</w:t>
            </w:r>
          </w:p>
        </w:tc>
        <w:tc>
          <w:tcPr>
            <w:tcW w:type="dxa" w:w="5953"/>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Kanopi, meja, kerusi, sistem audio dan papan tanda</w:t>
            </w:r>
          </w:p>
        </w:tc>
      </w:tr>
      <w:tr>
        <w:trPr>
          <w:cantSplit/>
        </w:trPr>
        <w:tc>
          <w:tcPr>
            <w:tcW w:type="dxa" w:w="3061"/>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Makanan dan Kebersihan</w:t>
            </w:r>
          </w:p>
        </w:tc>
        <w:tc>
          <w:tcPr>
            <w:tcW w:type="dxa" w:w="5953"/>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Jamuan, alahan, air minuman dan pengurusan sisa</w:t>
            </w:r>
          </w:p>
        </w:tc>
      </w:tr>
      <w:tr>
        <w:trPr>
          <w:cantSplit/>
        </w:trPr>
        <w:tc>
          <w:tcPr>
            <w:tcW w:type="dxa" w:w="3061"/>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Kewangan dan Tajaan</w:t>
            </w:r>
          </w:p>
        </w:tc>
        <w:tc>
          <w:tcPr>
            <w:tcW w:type="dxa" w:w="5953"/>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Sebut harga, perbelanjaan, resit dan laporan</w:t>
            </w:r>
          </w:p>
        </w:tc>
      </w:tr>
      <w:tr>
        <w:trPr>
          <w:cantSplit/>
        </w:trPr>
        <w:tc>
          <w:tcPr>
            <w:tcW w:type="dxa" w:w="3061"/>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Dokumentasi dan Penilaian</w:t>
            </w:r>
          </w:p>
        </w:tc>
        <w:tc>
          <w:tcPr>
            <w:tcW w:type="dxa" w:w="5953"/>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Foto dengan kebenaran dan maklum balas peserta</w:t>
            </w:r>
          </w:p>
        </w:tc>
      </w:tr>
    </w:tbl>
    <w:p>
      <w:pPr>
        <w:spacing w:after="0"/>
      </w:pPr>
    </w:p>
    <w:p>
      <w:pPr>
        <w:jc w:val="both"/>
      </w:pPr>
      <w:r>
        <w:t>Nama petugas sebenar hendaklah diisi selepas pelantikan dibuat oleh jawatankuasa. Pembahagian di atas berada dalam jumlah 20 petugas contoh dan tidak menambah jumlah keseluruhan peserta.</w:t>
      </w:r>
    </w:p>
    <w:p>
      <w:pPr>
        <w:pStyle w:val="Heading1"/>
        <w:numPr>
          <w:ilvl w:val="0"/>
          <w:numId w:val="10"/>
        </w:numPr>
      </w:pPr>
      <w:r>
        <w:t>KEPERLUAN LOGISTIK</w:t>
      </w:r>
    </w:p>
    <w:p>
      <w:pPr>
        <w:jc w:val="both"/>
      </w:pPr>
      <w:r>
        <w:t>Keperluan asas termasuk tiga unit kanopi, meja dan kerusi, sistem pembesar suara, empat set bahan aktiviti, bola lembut, kad kuiz, stesen pendaftaran, papan tanda, bekalan air, makanan, tong sampah, kit pertolongan cemas dan laluan kecemasan yang jelas. Penggunaan padang atau dewan perlu mendapatkan kebenaran pihak yang mengurus kemudahan tersebut.</w:t>
      </w:r>
    </w:p>
    <w:p>
      <w:pPr>
        <w:pStyle w:val="Heading1"/>
        <w:pageBreakBefore/>
        <w:numPr>
          <w:ilvl w:val="0"/>
          <w:numId w:val="10"/>
        </w:numPr>
      </w:pPr>
      <w:r>
        <w:t>ANGGARAN PERBELANJAAN DAN SUMBER KEWANGAN</w:t>
      </w:r>
    </w:p>
    <w:p>
      <w:pPr>
        <w:pStyle w:val="Heading2"/>
        <w:numPr>
          <w:ilvl w:val="1"/>
          <w:numId w:val="10"/>
        </w:numPr>
      </w:pPr>
      <w:r>
        <w:t>Anggaran perbelanjaan</w:t>
      </w:r>
    </w:p>
    <w:tbl>
      <w:tblPr>
        <w:tblW w:type="auto" w:w="0"/>
        <w:jc w:val="center"/>
        <w:tblLayout w:type="fixed"/>
        <w:tblLook w:firstColumn="1" w:firstRow="1" w:lastColumn="0" w:lastRow="0" w:noHBand="0" w:noVBand="1" w:val="04A0"/>
        <w:tblBorders>
          <w:top w:val="single" w:sz="5" w:color="000000"/>
          <w:left w:val="single" w:sz="5" w:color="000000"/>
          <w:bottom w:val="single" w:sz="5" w:color="000000"/>
          <w:right w:val="single" w:sz="5" w:color="000000"/>
          <w:insideH w:val="single" w:sz="5" w:color="000000"/>
          <w:insideV w:val="single" w:sz="5" w:color="000000"/>
        </w:tblBorders>
      </w:tblPr>
      <w:tblGrid>
        <w:gridCol w:w="4649"/>
        <w:gridCol w:w="2324"/>
        <w:gridCol w:w="2041"/>
      </w:tblGrid>
      <w:tr>
        <w:trPr>
          <w:cantSplit/>
          <w:tblHeader w:val="true"/>
        </w:trPr>
        <w:tc>
          <w:tcPr>
            <w:tcW w:type="dxa" w:w="4649"/>
            <w:vAlign w:val="center"/>
            <w:tcMar>
              <w:top w:w="80" w:type="dxa"/>
              <w:start w:w="96" w:type="dxa"/>
              <w:bottom w:w="80" w:type="dxa"/>
              <w:end w:w="96" w:type="dxa"/>
            </w:tcMar>
          </w:tcPr>
          <w:p>
            <w:pPr>
              <w:spacing w:line="360" w:lineRule="auto" w:before="0" w:after="0"/>
              <w:jc w:val="left"/>
            </w:pPr>
            <w:r>
              <w:rPr>
                <w:rFonts w:ascii="Arial" w:hAnsi="Arial"/>
                <w:b/>
                <w:color w:val="000000"/>
                <w:sz w:val="22"/>
              </w:rPr>
              <w:t>Butiran</w:t>
            </w:r>
          </w:p>
        </w:tc>
        <w:tc>
          <w:tcPr>
            <w:tcW w:type="dxa" w:w="2324"/>
            <w:vAlign w:val="center"/>
            <w:tcMar>
              <w:top w:w="80" w:type="dxa"/>
              <w:start w:w="96" w:type="dxa"/>
              <w:bottom w:w="80" w:type="dxa"/>
              <w:end w:w="96" w:type="dxa"/>
            </w:tcMar>
          </w:tcPr>
          <w:p>
            <w:pPr>
              <w:spacing w:line="360" w:lineRule="auto" w:before="0" w:after="0"/>
              <w:jc w:val="left"/>
            </w:pPr>
            <w:r>
              <w:rPr>
                <w:rFonts w:ascii="Arial" w:hAnsi="Arial"/>
                <w:b/>
                <w:color w:val="000000"/>
                <w:sz w:val="22"/>
              </w:rPr>
              <w:t>Pengiraan</w:t>
            </w:r>
          </w:p>
        </w:tc>
        <w:tc>
          <w:tcPr>
            <w:tcW w:type="dxa" w:w="2041"/>
            <w:vAlign w:val="center"/>
            <w:tcMar>
              <w:top w:w="80" w:type="dxa"/>
              <w:start w:w="96" w:type="dxa"/>
              <w:bottom w:w="80" w:type="dxa"/>
              <w:end w:w="96" w:type="dxa"/>
            </w:tcMar>
          </w:tcPr>
          <w:p>
            <w:pPr>
              <w:spacing w:line="360" w:lineRule="auto" w:before="0" w:after="0"/>
              <w:jc w:val="right"/>
            </w:pPr>
            <w:r>
              <w:rPr>
                <w:rFonts w:ascii="Arial" w:hAnsi="Arial"/>
                <w:b/>
                <w:color w:val="000000"/>
                <w:sz w:val="22"/>
              </w:rPr>
              <w:t>Jumlah</w:t>
            </w:r>
          </w:p>
        </w:tc>
      </w:tr>
      <w:tr>
        <w:trPr>
          <w:cantSplit/>
        </w:trPr>
        <w:tc>
          <w:tcPr>
            <w:tcW w:type="dxa" w:w="4649"/>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Jamuan makan tengah hari</w:t>
            </w:r>
          </w:p>
        </w:tc>
        <w:tc>
          <w:tcPr>
            <w:tcW w:type="dxa" w:w="2324"/>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150 × RM15.00</w:t>
            </w:r>
          </w:p>
        </w:tc>
        <w:tc>
          <w:tcPr>
            <w:tcW w:type="dxa" w:w="2041"/>
            <w:vAlign w:val="center"/>
            <w:tcMar>
              <w:top w:w="80" w:type="dxa"/>
              <w:start w:w="96" w:type="dxa"/>
              <w:bottom w:w="80" w:type="dxa"/>
              <w:end w:w="96" w:type="dxa"/>
            </w:tcMar>
          </w:tcPr>
          <w:p>
            <w:pPr>
              <w:spacing w:line="360" w:lineRule="auto" w:before="0" w:after="0"/>
              <w:jc w:val="right"/>
            </w:pPr>
            <w:r>
              <w:rPr>
                <w:rFonts w:ascii="Arial" w:hAnsi="Arial"/>
                <w:b w:val="0"/>
                <w:color w:val="000000"/>
                <w:sz w:val="22"/>
              </w:rPr>
              <w:t>RM2,250.00</w:t>
            </w:r>
          </w:p>
        </w:tc>
      </w:tr>
      <w:tr>
        <w:trPr>
          <w:cantSplit/>
        </w:trPr>
        <w:tc>
          <w:tcPr>
            <w:tcW w:type="dxa" w:w="4649"/>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Air minuman</w:t>
            </w:r>
          </w:p>
        </w:tc>
        <w:tc>
          <w:tcPr>
            <w:tcW w:type="dxa" w:w="2324"/>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150 × RM2.00</w:t>
            </w:r>
          </w:p>
        </w:tc>
        <w:tc>
          <w:tcPr>
            <w:tcW w:type="dxa" w:w="2041"/>
            <w:vAlign w:val="center"/>
            <w:tcMar>
              <w:top w:w="80" w:type="dxa"/>
              <w:start w:w="96" w:type="dxa"/>
              <w:bottom w:w="80" w:type="dxa"/>
              <w:end w:w="96" w:type="dxa"/>
            </w:tcMar>
          </w:tcPr>
          <w:p>
            <w:pPr>
              <w:spacing w:line="360" w:lineRule="auto" w:before="0" w:after="0"/>
              <w:jc w:val="right"/>
            </w:pPr>
            <w:r>
              <w:rPr>
                <w:rFonts w:ascii="Arial" w:hAnsi="Arial"/>
                <w:b w:val="0"/>
                <w:color w:val="000000"/>
                <w:sz w:val="22"/>
              </w:rPr>
              <w:t>RM300.00</w:t>
            </w:r>
          </w:p>
        </w:tc>
      </w:tr>
      <w:tr>
        <w:trPr>
          <w:cantSplit/>
        </w:trPr>
        <w:tc>
          <w:tcPr>
            <w:tcW w:type="dxa" w:w="4649"/>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Sewaan kanopi</w:t>
            </w:r>
          </w:p>
        </w:tc>
        <w:tc>
          <w:tcPr>
            <w:tcW w:type="dxa" w:w="2324"/>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3 × RM250.00</w:t>
            </w:r>
          </w:p>
        </w:tc>
        <w:tc>
          <w:tcPr>
            <w:tcW w:type="dxa" w:w="2041"/>
            <w:vAlign w:val="center"/>
            <w:tcMar>
              <w:top w:w="80" w:type="dxa"/>
              <w:start w:w="96" w:type="dxa"/>
              <w:bottom w:w="80" w:type="dxa"/>
              <w:end w:w="96" w:type="dxa"/>
            </w:tcMar>
          </w:tcPr>
          <w:p>
            <w:pPr>
              <w:spacing w:line="360" w:lineRule="auto" w:before="0" w:after="0"/>
              <w:jc w:val="right"/>
            </w:pPr>
            <w:r>
              <w:rPr>
                <w:rFonts w:ascii="Arial" w:hAnsi="Arial"/>
                <w:b w:val="0"/>
                <w:color w:val="000000"/>
                <w:sz w:val="22"/>
              </w:rPr>
              <w:t>RM750.00</w:t>
            </w:r>
          </w:p>
        </w:tc>
      </w:tr>
      <w:tr>
        <w:trPr>
          <w:cantSplit/>
        </w:trPr>
        <w:tc>
          <w:tcPr>
            <w:tcW w:type="dxa" w:w="4649"/>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Sewaan meja dan kerusi</w:t>
            </w:r>
          </w:p>
        </w:tc>
        <w:tc>
          <w:tcPr>
            <w:tcW w:type="dxa" w:w="2324"/>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1 lot</w:t>
            </w:r>
          </w:p>
        </w:tc>
        <w:tc>
          <w:tcPr>
            <w:tcW w:type="dxa" w:w="2041"/>
            <w:vAlign w:val="center"/>
            <w:tcMar>
              <w:top w:w="80" w:type="dxa"/>
              <w:start w:w="96" w:type="dxa"/>
              <w:bottom w:w="80" w:type="dxa"/>
              <w:end w:w="96" w:type="dxa"/>
            </w:tcMar>
          </w:tcPr>
          <w:p>
            <w:pPr>
              <w:spacing w:line="360" w:lineRule="auto" w:before="0" w:after="0"/>
              <w:jc w:val="right"/>
            </w:pPr>
            <w:r>
              <w:rPr>
                <w:rFonts w:ascii="Arial" w:hAnsi="Arial"/>
                <w:b w:val="0"/>
                <w:color w:val="000000"/>
                <w:sz w:val="22"/>
              </w:rPr>
              <w:t>RM500.00</w:t>
            </w:r>
          </w:p>
        </w:tc>
      </w:tr>
      <w:tr>
        <w:trPr>
          <w:cantSplit/>
        </w:trPr>
        <w:tc>
          <w:tcPr>
            <w:tcW w:type="dxa" w:w="4649"/>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Bahan empat stesen</w:t>
            </w:r>
          </w:p>
        </w:tc>
        <w:tc>
          <w:tcPr>
            <w:tcW w:type="dxa" w:w="2324"/>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1 lot</w:t>
            </w:r>
          </w:p>
        </w:tc>
        <w:tc>
          <w:tcPr>
            <w:tcW w:type="dxa" w:w="2041"/>
            <w:vAlign w:val="center"/>
            <w:tcMar>
              <w:top w:w="80" w:type="dxa"/>
              <w:start w:w="96" w:type="dxa"/>
              <w:bottom w:w="80" w:type="dxa"/>
              <w:end w:w="96" w:type="dxa"/>
            </w:tcMar>
          </w:tcPr>
          <w:p>
            <w:pPr>
              <w:spacing w:line="360" w:lineRule="auto" w:before="0" w:after="0"/>
              <w:jc w:val="right"/>
            </w:pPr>
            <w:r>
              <w:rPr>
                <w:rFonts w:ascii="Arial" w:hAnsi="Arial"/>
                <w:b w:val="0"/>
                <w:color w:val="000000"/>
                <w:sz w:val="22"/>
              </w:rPr>
              <w:t>RM350.00</w:t>
            </w:r>
          </w:p>
        </w:tc>
      </w:tr>
      <w:tr>
        <w:trPr>
          <w:cantSplit/>
        </w:trPr>
        <w:tc>
          <w:tcPr>
            <w:tcW w:type="dxa" w:w="4649"/>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Hadiah penghargaan</w:t>
            </w:r>
          </w:p>
        </w:tc>
        <w:tc>
          <w:tcPr>
            <w:tcW w:type="dxa" w:w="2324"/>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10 × RM60.00</w:t>
            </w:r>
          </w:p>
        </w:tc>
        <w:tc>
          <w:tcPr>
            <w:tcW w:type="dxa" w:w="2041"/>
            <w:vAlign w:val="center"/>
            <w:tcMar>
              <w:top w:w="80" w:type="dxa"/>
              <w:start w:w="96" w:type="dxa"/>
              <w:bottom w:w="80" w:type="dxa"/>
              <w:end w:w="96" w:type="dxa"/>
            </w:tcMar>
          </w:tcPr>
          <w:p>
            <w:pPr>
              <w:spacing w:line="360" w:lineRule="auto" w:before="0" w:after="0"/>
              <w:jc w:val="right"/>
            </w:pPr>
            <w:r>
              <w:rPr>
                <w:rFonts w:ascii="Arial" w:hAnsi="Arial"/>
                <w:b w:val="0"/>
                <w:color w:val="000000"/>
                <w:sz w:val="22"/>
              </w:rPr>
              <w:t>RM600.00</w:t>
            </w:r>
          </w:p>
        </w:tc>
      </w:tr>
      <w:tr>
        <w:trPr>
          <w:cantSplit/>
        </w:trPr>
        <w:tc>
          <w:tcPr>
            <w:tcW w:type="dxa" w:w="4649"/>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Sistem pembesar suara</w:t>
            </w:r>
          </w:p>
        </w:tc>
        <w:tc>
          <w:tcPr>
            <w:tcW w:type="dxa" w:w="2324"/>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1 set</w:t>
            </w:r>
          </w:p>
        </w:tc>
        <w:tc>
          <w:tcPr>
            <w:tcW w:type="dxa" w:w="2041"/>
            <w:vAlign w:val="center"/>
            <w:tcMar>
              <w:top w:w="80" w:type="dxa"/>
              <w:start w:w="96" w:type="dxa"/>
              <w:bottom w:w="80" w:type="dxa"/>
              <w:end w:w="96" w:type="dxa"/>
            </w:tcMar>
          </w:tcPr>
          <w:p>
            <w:pPr>
              <w:spacing w:line="360" w:lineRule="auto" w:before="0" w:after="0"/>
              <w:jc w:val="right"/>
            </w:pPr>
            <w:r>
              <w:rPr>
                <w:rFonts w:ascii="Arial" w:hAnsi="Arial"/>
                <w:b w:val="0"/>
                <w:color w:val="000000"/>
                <w:sz w:val="22"/>
              </w:rPr>
              <w:t>RM250.00</w:t>
            </w:r>
          </w:p>
        </w:tc>
      </w:tr>
      <w:tr>
        <w:trPr>
          <w:cantSplit/>
        </w:trPr>
        <w:tc>
          <w:tcPr>
            <w:tcW w:type="dxa" w:w="4649"/>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Papan tanda dan cetakan</w:t>
            </w:r>
          </w:p>
        </w:tc>
        <w:tc>
          <w:tcPr>
            <w:tcW w:type="dxa" w:w="2324"/>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1 lot</w:t>
            </w:r>
          </w:p>
        </w:tc>
        <w:tc>
          <w:tcPr>
            <w:tcW w:type="dxa" w:w="2041"/>
            <w:vAlign w:val="center"/>
            <w:tcMar>
              <w:top w:w="80" w:type="dxa"/>
              <w:start w:w="96" w:type="dxa"/>
              <w:bottom w:w="80" w:type="dxa"/>
              <w:end w:w="96" w:type="dxa"/>
            </w:tcMar>
          </w:tcPr>
          <w:p>
            <w:pPr>
              <w:spacing w:line="360" w:lineRule="auto" w:before="0" w:after="0"/>
              <w:jc w:val="right"/>
            </w:pPr>
            <w:r>
              <w:rPr>
                <w:rFonts w:ascii="Arial" w:hAnsi="Arial"/>
                <w:b w:val="0"/>
                <w:color w:val="000000"/>
                <w:sz w:val="22"/>
              </w:rPr>
              <w:t>RM120.00</w:t>
            </w:r>
          </w:p>
        </w:tc>
      </w:tr>
      <w:tr>
        <w:trPr>
          <w:cantSplit/>
        </w:trPr>
        <w:tc>
          <w:tcPr>
            <w:tcW w:type="dxa" w:w="4649"/>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Kit keselamatan dan kebersihan</w:t>
            </w:r>
          </w:p>
        </w:tc>
        <w:tc>
          <w:tcPr>
            <w:tcW w:type="dxa" w:w="2324"/>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1 lot</w:t>
            </w:r>
          </w:p>
        </w:tc>
        <w:tc>
          <w:tcPr>
            <w:tcW w:type="dxa" w:w="2041"/>
            <w:vAlign w:val="center"/>
            <w:tcMar>
              <w:top w:w="80" w:type="dxa"/>
              <w:start w:w="96" w:type="dxa"/>
              <w:bottom w:w="80" w:type="dxa"/>
              <w:end w:w="96" w:type="dxa"/>
            </w:tcMar>
          </w:tcPr>
          <w:p>
            <w:pPr>
              <w:spacing w:line="360" w:lineRule="auto" w:before="0" w:after="0"/>
              <w:jc w:val="right"/>
            </w:pPr>
            <w:r>
              <w:rPr>
                <w:rFonts w:ascii="Arial" w:hAnsi="Arial"/>
                <w:b w:val="0"/>
                <w:color w:val="000000"/>
                <w:sz w:val="22"/>
              </w:rPr>
              <w:t>RM180.00</w:t>
            </w:r>
          </w:p>
        </w:tc>
      </w:tr>
      <w:tr>
        <w:trPr>
          <w:cantSplit/>
        </w:trPr>
        <w:tc>
          <w:tcPr>
            <w:tcW w:type="dxa" w:w="4649"/>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Peruntukan luar jangka</w:t>
            </w:r>
          </w:p>
        </w:tc>
        <w:tc>
          <w:tcPr>
            <w:tcW w:type="dxa" w:w="2324"/>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1 lot</w:t>
            </w:r>
          </w:p>
        </w:tc>
        <w:tc>
          <w:tcPr>
            <w:tcW w:type="dxa" w:w="2041"/>
            <w:vAlign w:val="center"/>
            <w:tcMar>
              <w:top w:w="80" w:type="dxa"/>
              <w:start w:w="96" w:type="dxa"/>
              <w:bottom w:w="80" w:type="dxa"/>
              <w:end w:w="96" w:type="dxa"/>
            </w:tcMar>
          </w:tcPr>
          <w:p>
            <w:pPr>
              <w:spacing w:line="360" w:lineRule="auto" w:before="0" w:after="0"/>
              <w:jc w:val="right"/>
            </w:pPr>
            <w:r>
              <w:rPr>
                <w:rFonts w:ascii="Arial" w:hAnsi="Arial"/>
                <w:b w:val="0"/>
                <w:color w:val="000000"/>
                <w:sz w:val="22"/>
              </w:rPr>
              <w:t>RM400.00</w:t>
            </w:r>
          </w:p>
        </w:tc>
      </w:tr>
      <w:tr>
        <w:trPr>
          <w:cantSplit/>
        </w:trPr>
        <w:tc>
          <w:tcPr>
            <w:tcW w:type="dxa" w:w="4649"/>
            <w:vAlign w:val="center"/>
            <w:tcMar>
              <w:top w:w="80" w:type="dxa"/>
              <w:start w:w="96" w:type="dxa"/>
              <w:bottom w:w="80" w:type="dxa"/>
              <w:end w:w="96" w:type="dxa"/>
            </w:tcMar>
          </w:tcPr>
          <w:p>
            <w:pPr>
              <w:spacing w:line="360" w:lineRule="auto" w:before="0" w:after="0"/>
              <w:jc w:val="left"/>
            </w:pPr>
            <w:r>
              <w:rPr>
                <w:rFonts w:ascii="Arial" w:hAnsi="Arial"/>
                <w:b/>
                <w:color w:val="000000"/>
                <w:sz w:val="22"/>
              </w:rPr>
              <w:t>JUMLAH KESELURUHAN</w:t>
            </w:r>
          </w:p>
        </w:tc>
        <w:tc>
          <w:tcPr>
            <w:tcW w:type="dxa" w:w="2324"/>
            <w:vAlign w:val="center"/>
            <w:tcMar>
              <w:top w:w="80" w:type="dxa"/>
              <w:start w:w="96" w:type="dxa"/>
              <w:bottom w:w="80" w:type="dxa"/>
              <w:end w:w="96" w:type="dxa"/>
            </w:tcMar>
          </w:tcPr>
          <w:p>
            <w:pPr>
              <w:spacing w:line="360" w:lineRule="auto" w:before="0" w:after="0"/>
              <w:jc w:val="left"/>
            </w:pPr>
            <w:r>
              <w:rPr>
                <w:rFonts w:ascii="Arial" w:hAnsi="Arial"/>
                <w:b/>
                <w:color w:val="000000"/>
                <w:sz w:val="22"/>
              </w:rPr>
            </w:r>
          </w:p>
        </w:tc>
        <w:tc>
          <w:tcPr>
            <w:tcW w:type="dxa" w:w="2041"/>
            <w:vAlign w:val="center"/>
            <w:tcMar>
              <w:top w:w="80" w:type="dxa"/>
              <w:start w:w="96" w:type="dxa"/>
              <w:bottom w:w="80" w:type="dxa"/>
              <w:end w:w="96" w:type="dxa"/>
            </w:tcMar>
          </w:tcPr>
          <w:p>
            <w:pPr>
              <w:spacing w:line="360" w:lineRule="auto" w:before="0" w:after="0"/>
              <w:jc w:val="right"/>
            </w:pPr>
            <w:r>
              <w:rPr>
                <w:rFonts w:ascii="Arial" w:hAnsi="Arial"/>
                <w:b/>
                <w:color w:val="000000"/>
                <w:sz w:val="22"/>
              </w:rPr>
              <w:t>RM5,700.00</w:t>
            </w:r>
          </w:p>
        </w:tc>
      </w:tr>
    </w:tbl>
    <w:p>
      <w:pPr>
        <w:spacing w:after="0"/>
      </w:pPr>
    </w:p>
    <w:p>
      <w:pPr>
        <w:jc w:val="both"/>
      </w:pPr>
      <w:r>
        <w:t>Anggaran ini tidak melibatkan sebut harga sebenar. Jika peralatan tersedia atau kos lokasi berubah, bajet hendaklah disemak semula sebelum perbelanjaan diluluskan.</w:t>
      </w:r>
    </w:p>
    <w:p>
      <w:pPr>
        <w:pStyle w:val="Heading2"/>
        <w:numPr>
          <w:ilvl w:val="1"/>
          <w:numId w:val="10"/>
        </w:numPr>
      </w:pPr>
      <w:r>
        <w:t>Cadangan sumber kewangan</w:t>
      </w:r>
    </w:p>
    <w:tbl>
      <w:tblPr>
        <w:tblW w:type="auto" w:w="0"/>
        <w:jc w:val="center"/>
        <w:tblLayout w:type="fixed"/>
        <w:tblLook w:firstColumn="1" w:firstRow="1" w:lastColumn="0" w:lastRow="0" w:noHBand="0" w:noVBand="1" w:val="04A0"/>
        <w:tblBorders>
          <w:top w:val="single" w:sz="5" w:color="000000"/>
          <w:left w:val="single" w:sz="5" w:color="000000"/>
          <w:bottom w:val="single" w:sz="5" w:color="000000"/>
          <w:right w:val="single" w:sz="5" w:color="000000"/>
          <w:insideH w:val="single" w:sz="5" w:color="000000"/>
          <w:insideV w:val="single" w:sz="5" w:color="000000"/>
        </w:tblBorders>
      </w:tblPr>
      <w:tblGrid>
        <w:gridCol w:w="6463"/>
        <w:gridCol w:w="2551"/>
      </w:tblGrid>
      <w:tr>
        <w:trPr>
          <w:cantSplit/>
          <w:tblHeader w:val="true"/>
        </w:trPr>
        <w:tc>
          <w:tcPr>
            <w:tcW w:type="dxa" w:w="6463"/>
            <w:vAlign w:val="center"/>
            <w:tcMar>
              <w:top w:w="80" w:type="dxa"/>
              <w:start w:w="96" w:type="dxa"/>
              <w:bottom w:w="80" w:type="dxa"/>
              <w:end w:w="96" w:type="dxa"/>
            </w:tcMar>
          </w:tcPr>
          <w:p>
            <w:pPr>
              <w:spacing w:line="360" w:lineRule="auto" w:before="0" w:after="0"/>
              <w:jc w:val="left"/>
            </w:pPr>
            <w:r>
              <w:rPr>
                <w:rFonts w:ascii="Arial" w:hAnsi="Arial"/>
                <w:b/>
                <w:color w:val="000000"/>
                <w:sz w:val="22"/>
              </w:rPr>
              <w:t>Sumber kewangan</w:t>
            </w:r>
          </w:p>
        </w:tc>
        <w:tc>
          <w:tcPr>
            <w:tcW w:type="dxa" w:w="2551"/>
            <w:vAlign w:val="center"/>
            <w:tcMar>
              <w:top w:w="80" w:type="dxa"/>
              <w:start w:w="96" w:type="dxa"/>
              <w:bottom w:w="80" w:type="dxa"/>
              <w:end w:w="96" w:type="dxa"/>
            </w:tcMar>
          </w:tcPr>
          <w:p>
            <w:pPr>
              <w:spacing w:line="360" w:lineRule="auto" w:before="0" w:after="0"/>
              <w:jc w:val="right"/>
            </w:pPr>
            <w:r>
              <w:rPr>
                <w:rFonts w:ascii="Arial" w:hAnsi="Arial"/>
                <w:b/>
                <w:color w:val="000000"/>
                <w:sz w:val="22"/>
              </w:rPr>
              <w:t>Jumlah cadangan</w:t>
            </w:r>
          </w:p>
        </w:tc>
      </w:tr>
      <w:tr>
        <w:trPr>
          <w:cantSplit/>
        </w:trPr>
        <w:tc>
          <w:tcPr>
            <w:tcW w:type="dxa" w:w="6463"/>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Tabung persatuan (tertakluk kelulusan AJK)</w:t>
            </w:r>
          </w:p>
        </w:tc>
        <w:tc>
          <w:tcPr>
            <w:tcW w:type="dxa" w:w="2551"/>
            <w:vAlign w:val="center"/>
            <w:tcMar>
              <w:top w:w="80" w:type="dxa"/>
              <w:start w:w="96" w:type="dxa"/>
              <w:bottom w:w="80" w:type="dxa"/>
              <w:end w:w="96" w:type="dxa"/>
            </w:tcMar>
          </w:tcPr>
          <w:p>
            <w:pPr>
              <w:spacing w:line="360" w:lineRule="auto" w:before="0" w:after="0"/>
              <w:jc w:val="right"/>
            </w:pPr>
            <w:r>
              <w:rPr>
                <w:rFonts w:ascii="Arial" w:hAnsi="Arial"/>
                <w:b w:val="0"/>
                <w:color w:val="000000"/>
                <w:sz w:val="22"/>
              </w:rPr>
              <w:t>RM2,000.00</w:t>
            </w:r>
          </w:p>
        </w:tc>
      </w:tr>
      <w:tr>
        <w:trPr>
          <w:cantSplit/>
        </w:trPr>
        <w:tc>
          <w:tcPr>
            <w:tcW w:type="dxa" w:w="6463"/>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Tajaan perniagaan setempat (belum disahkan)</w:t>
            </w:r>
          </w:p>
        </w:tc>
        <w:tc>
          <w:tcPr>
            <w:tcW w:type="dxa" w:w="2551"/>
            <w:vAlign w:val="center"/>
            <w:tcMar>
              <w:top w:w="80" w:type="dxa"/>
              <w:start w:w="96" w:type="dxa"/>
              <w:bottom w:w="80" w:type="dxa"/>
              <w:end w:w="96" w:type="dxa"/>
            </w:tcMar>
          </w:tcPr>
          <w:p>
            <w:pPr>
              <w:spacing w:line="360" w:lineRule="auto" w:before="0" w:after="0"/>
              <w:jc w:val="right"/>
            </w:pPr>
            <w:r>
              <w:rPr>
                <w:rFonts w:ascii="Arial" w:hAnsi="Arial"/>
                <w:b w:val="0"/>
                <w:color w:val="000000"/>
                <w:sz w:val="22"/>
              </w:rPr>
              <w:t>RM2,500.00</w:t>
            </w:r>
          </w:p>
        </w:tc>
      </w:tr>
      <w:tr>
        <w:trPr>
          <w:cantSplit/>
        </w:trPr>
        <w:tc>
          <w:tcPr>
            <w:tcW w:type="dxa" w:w="6463"/>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Sumbangan rakan komuniti / NGO (belum disahkan)</w:t>
            </w:r>
          </w:p>
        </w:tc>
        <w:tc>
          <w:tcPr>
            <w:tcW w:type="dxa" w:w="2551"/>
            <w:vAlign w:val="center"/>
            <w:tcMar>
              <w:top w:w="80" w:type="dxa"/>
              <w:start w:w="96" w:type="dxa"/>
              <w:bottom w:w="80" w:type="dxa"/>
              <w:end w:w="96" w:type="dxa"/>
            </w:tcMar>
          </w:tcPr>
          <w:p>
            <w:pPr>
              <w:spacing w:line="360" w:lineRule="auto" w:before="0" w:after="0"/>
              <w:jc w:val="right"/>
            </w:pPr>
            <w:r>
              <w:rPr>
                <w:rFonts w:ascii="Arial" w:hAnsi="Arial"/>
                <w:b w:val="0"/>
                <w:color w:val="000000"/>
                <w:sz w:val="22"/>
              </w:rPr>
              <w:t>RM1,200.00</w:t>
            </w:r>
          </w:p>
        </w:tc>
      </w:tr>
      <w:tr>
        <w:trPr>
          <w:cantSplit/>
        </w:trPr>
        <w:tc>
          <w:tcPr>
            <w:tcW w:type="dxa" w:w="6463"/>
            <w:vAlign w:val="center"/>
            <w:tcMar>
              <w:top w:w="80" w:type="dxa"/>
              <w:start w:w="96" w:type="dxa"/>
              <w:bottom w:w="80" w:type="dxa"/>
              <w:end w:w="96" w:type="dxa"/>
            </w:tcMar>
          </w:tcPr>
          <w:p>
            <w:pPr>
              <w:spacing w:line="360" w:lineRule="auto" w:before="0" w:after="0"/>
              <w:jc w:val="left"/>
            </w:pPr>
            <w:r>
              <w:rPr>
                <w:rFonts w:ascii="Arial" w:hAnsi="Arial"/>
                <w:b/>
                <w:color w:val="000000"/>
                <w:sz w:val="22"/>
              </w:rPr>
              <w:t>JUMLAH UNJURAN</w:t>
            </w:r>
          </w:p>
        </w:tc>
        <w:tc>
          <w:tcPr>
            <w:tcW w:type="dxa" w:w="2551"/>
            <w:vAlign w:val="center"/>
            <w:tcMar>
              <w:top w:w="80" w:type="dxa"/>
              <w:start w:w="96" w:type="dxa"/>
              <w:bottom w:w="80" w:type="dxa"/>
              <w:end w:w="96" w:type="dxa"/>
            </w:tcMar>
          </w:tcPr>
          <w:p>
            <w:pPr>
              <w:spacing w:line="360" w:lineRule="auto" w:before="0" w:after="0"/>
              <w:jc w:val="right"/>
            </w:pPr>
            <w:r>
              <w:rPr>
                <w:rFonts w:ascii="Arial" w:hAnsi="Arial"/>
                <w:b/>
                <w:color w:val="000000"/>
                <w:sz w:val="22"/>
              </w:rPr>
              <w:t>RM5,700.00</w:t>
            </w:r>
          </w:p>
        </w:tc>
      </w:tr>
    </w:tbl>
    <w:p>
      <w:pPr>
        <w:spacing w:after="0"/>
      </w:pPr>
    </w:p>
    <w:p>
      <w:pPr>
        <w:jc w:val="both"/>
      </w:pPr>
      <w:r>
        <w:t>Semua sumbangan yang disenaraikan masih cadangan. Jumlah unjuran tidak bermaksud wang telah diterima. Kutipan, pembelian dan pelaporan hendaklah mengikut keputusan serta tatacara kewangan penganjur.</w:t>
      </w:r>
    </w:p>
    <w:p>
      <w:pPr>
        <w:pStyle w:val="Heading1"/>
        <w:numPr>
          <w:ilvl w:val="0"/>
          <w:numId w:val="10"/>
        </w:numPr>
      </w:pPr>
      <w:r>
        <w:t>KESELAMATAN DAN PENGURUSAN RISIKO</w:t>
      </w:r>
    </w:p>
    <w:p>
      <w:pPr>
        <w:pStyle w:val="Heading2"/>
        <w:numPr>
          <w:ilvl w:val="1"/>
          <w:numId w:val="10"/>
        </w:numPr>
      </w:pPr>
      <w:r>
        <w:t>Kawalan keselamatan peserta</w:t>
      </w:r>
    </w:p>
    <w:tbl>
      <w:tblPr>
        <w:tblW w:type="auto" w:w="0"/>
        <w:jc w:val="center"/>
        <w:tblLayout w:type="fixed"/>
        <w:tblLook w:firstColumn="1" w:firstRow="1" w:lastColumn="0" w:lastRow="0" w:noHBand="0" w:noVBand="1" w:val="04A0"/>
        <w:tblBorders>
          <w:top w:val="single" w:sz="5" w:color="000000"/>
          <w:left w:val="single" w:sz="5" w:color="000000"/>
          <w:bottom w:val="single" w:sz="5" w:color="000000"/>
          <w:right w:val="single" w:sz="5" w:color="000000"/>
          <w:insideH w:val="single" w:sz="5" w:color="000000"/>
          <w:insideV w:val="single" w:sz="5" w:color="000000"/>
        </w:tblBorders>
      </w:tblPr>
      <w:tblGrid>
        <w:gridCol w:w="2948"/>
        <w:gridCol w:w="6066"/>
      </w:tblGrid>
      <w:tr>
        <w:trPr>
          <w:cantSplit/>
          <w:tblHeader w:val="true"/>
        </w:trPr>
        <w:tc>
          <w:tcPr>
            <w:tcW w:type="dxa" w:w="2948"/>
            <w:vAlign w:val="center"/>
            <w:tcMar>
              <w:top w:w="80" w:type="dxa"/>
              <w:start w:w="96" w:type="dxa"/>
              <w:bottom w:w="80" w:type="dxa"/>
              <w:end w:w="96" w:type="dxa"/>
            </w:tcMar>
          </w:tcPr>
          <w:p>
            <w:pPr>
              <w:spacing w:line="360" w:lineRule="auto" w:before="0" w:after="0"/>
              <w:jc w:val="left"/>
            </w:pPr>
            <w:r>
              <w:rPr>
                <w:rFonts w:ascii="Arial" w:hAnsi="Arial"/>
                <w:b/>
                <w:color w:val="000000"/>
                <w:sz w:val="22"/>
              </w:rPr>
              <w:t>Risiko utama</w:t>
            </w:r>
          </w:p>
        </w:tc>
        <w:tc>
          <w:tcPr>
            <w:tcW w:type="dxa" w:w="6066"/>
            <w:vAlign w:val="center"/>
            <w:tcMar>
              <w:top w:w="80" w:type="dxa"/>
              <w:start w:w="96" w:type="dxa"/>
              <w:bottom w:w="80" w:type="dxa"/>
              <w:end w:w="96" w:type="dxa"/>
            </w:tcMar>
          </w:tcPr>
          <w:p>
            <w:pPr>
              <w:spacing w:line="360" w:lineRule="auto" w:before="0" w:after="0"/>
              <w:jc w:val="left"/>
            </w:pPr>
            <w:r>
              <w:rPr>
                <w:rFonts w:ascii="Arial" w:hAnsi="Arial"/>
                <w:b/>
                <w:color w:val="000000"/>
                <w:sz w:val="22"/>
              </w:rPr>
              <w:t>Kawalan yang dicadangkan</w:t>
            </w:r>
          </w:p>
        </w:tc>
      </w:tr>
      <w:tr>
        <w:trPr>
          <w:cantSplit/>
        </w:trPr>
        <w:tc>
          <w:tcPr>
            <w:tcW w:type="dxa" w:w="2948"/>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Haba, hujan atau ribut petir</w:t>
            </w:r>
          </w:p>
        </w:tc>
        <w:tc>
          <w:tcPr>
            <w:tcW w:type="dxa" w:w="6066"/>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Semak amaran cuaca; hentikan aktiviti luar dan pindahkan atau tangguhkan program jika tidak selamat</w:t>
            </w:r>
          </w:p>
        </w:tc>
      </w:tr>
      <w:tr>
        <w:trPr>
          <w:cantSplit/>
        </w:trPr>
        <w:tc>
          <w:tcPr>
            <w:tcW w:type="dxa" w:w="2948"/>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Tergelincir atau terjatuh</w:t>
            </w:r>
          </w:p>
        </w:tc>
        <w:tc>
          <w:tcPr>
            <w:tcW w:type="dxa" w:w="6066"/>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Periksa permukaan aktiviti, elak larian berisiko dan sediakan ruang pergerakan</w:t>
            </w:r>
          </w:p>
        </w:tc>
      </w:tr>
      <w:tr>
        <w:trPr>
          <w:cantSplit/>
        </w:trPr>
        <w:tc>
          <w:tcPr>
            <w:tcW w:type="dxa" w:w="2948"/>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Kanak-kanak terpisah</w:t>
            </w:r>
          </w:p>
        </w:tc>
        <w:tc>
          <w:tcPr>
            <w:tcW w:type="dxa" w:w="6066"/>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Sistem kumpulan, tempat berkumpul dan pengawasan penjaga</w:t>
            </w:r>
          </w:p>
        </w:tc>
      </w:tr>
      <w:tr>
        <w:trPr>
          <w:cantSplit/>
        </w:trPr>
        <w:tc>
          <w:tcPr>
            <w:tcW w:type="dxa" w:w="2948"/>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Alahan makanan atau kesihatan</w:t>
            </w:r>
          </w:p>
        </w:tc>
        <w:tc>
          <w:tcPr>
            <w:tcW w:type="dxa" w:w="6066"/>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Sediakan maklumat yang diperlukan secara sulit, label makanan dan petugas kebajikan</w:t>
            </w:r>
          </w:p>
        </w:tc>
      </w:tr>
      <w:tr>
        <w:trPr>
          <w:cantSplit/>
        </w:trPr>
        <w:tc>
          <w:tcPr>
            <w:tcW w:type="dxa" w:w="2948"/>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Privasi foto dan data peserta</w:t>
            </w:r>
          </w:p>
        </w:tc>
        <w:tc>
          <w:tcPr>
            <w:tcW w:type="dxa" w:w="6066"/>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Dapatkan kebenaran sesuai; akses data hanya kepada urusetia berkaitan</w:t>
            </w:r>
          </w:p>
        </w:tc>
      </w:tr>
    </w:tbl>
    <w:p>
      <w:pPr>
        <w:spacing w:after="0"/>
      </w:pPr>
    </w:p>
    <w:p>
      <w:pPr>
        <w:pStyle w:val="Heading2"/>
        <w:numPr>
          <w:ilvl w:val="1"/>
          <w:numId w:val="10"/>
        </w:numPr>
      </w:pPr>
      <w:r>
        <w:t>Kebenaran dan pelan alternatif</w:t>
      </w:r>
    </w:p>
    <w:p>
      <w:pPr>
        <w:jc w:val="both"/>
      </w:pPr>
      <w:r>
        <w:t>Penganjur hendaklah mengesahkan kebenaran penggunaan tapak, keperluan PBT jika berkaitan, kapasiti ruang berteduh serta pelan kecemasan. Jika berlaku petir atau ribut, aktiviti luar dihentikan dan peserta dibawa ke lokasi perlindungan yang sesuai; program boleh disusun semula hanya selepas keadaan disahkan selamat.</w:t>
      </w:r>
    </w:p>
    <w:p>
      <w:pPr>
        <w:pStyle w:val="Heading1"/>
        <w:numPr>
          <w:ilvl w:val="0"/>
          <w:numId w:val="10"/>
        </w:numPr>
      </w:pPr>
      <w:r>
        <w:t>KAEDAH PENILAIAN KEBERHASILAN</w:t>
      </w:r>
    </w:p>
    <w:p>
      <w:pPr>
        <w:jc w:val="both"/>
      </w:pPr>
      <w:r>
        <w:t>Penilaian dibuat berdasarkan rekod kehadiran, bilangan keluarga yang mengambil bahagian, empat stesen yang disempurnakan, maklum balas peserta serta perbelanjaan sebenar. Sebarang insiden keselamatan dan cadangan penambahbaikan hendaklah dilaporkan kepada jawatankuasa secara berhemah.</w:t>
      </w:r>
    </w:p>
    <w:p>
      <w:pPr>
        <w:jc w:val="both"/>
      </w:pPr>
      <w:r>
        <w:t>Ringkasan dapatan sebenar diisi dalam Lampiran C selepas program berlangsung. Sasaran 150 orang dan bajet RM5,700 tidak boleh ditulis sebagai pencapaian sebelum disahkan melalui rekod.</w:t>
      </w:r>
    </w:p>
    <w:p>
      <w:pPr>
        <w:pStyle w:val="Heading1"/>
        <w:numPr>
          <w:ilvl w:val="0"/>
          <w:numId w:val="10"/>
        </w:numPr>
      </w:pPr>
      <w:r>
        <w:t>PENUTUP DAN PENGESAHAN</w:t>
      </w:r>
    </w:p>
    <w:p>
      <w:pPr>
        <w:pStyle w:val="Heading2"/>
        <w:numPr>
          <w:ilvl w:val="1"/>
          <w:numId w:val="10"/>
        </w:numPr>
      </w:pPr>
      <w:r>
        <w:t>Penutup</w:t>
      </w:r>
    </w:p>
    <w:p>
      <w:pPr>
        <w:jc w:val="both"/>
      </w:pPr>
      <w:r>
        <w:t>Program Hari Keluarga Komuniti diharap dapat memperkukuh hubungan kejiranan, menggalakkan penyertaan pelbagai generasi dan menyediakan ruang kerjasama yang berterusan. Pertimbangan serta kelulusan jawatankuasa penganjur dipohon tertakluk kepada kemampuan dana, kebenaran lokasi dan keperluan keselamatan yang berkaitan.</w:t>
      </w:r>
    </w:p>
    <w:p>
      <w:pPr>
        <w:pStyle w:val="Heading2"/>
        <w:numPr>
          <w:ilvl w:val="1"/>
          <w:numId w:val="10"/>
        </w:numPr>
      </w:pPr>
      <w:r>
        <w:t>Ruangan pengesahan</w:t>
      </w:r>
    </w:p>
    <w:tbl>
      <w:tblPr>
        <w:tblW w:type="auto" w:w="0"/>
        <w:jc w:val="center"/>
        <w:tblLayout w:type="fixed"/>
        <w:tblLook w:firstColumn="1" w:firstRow="1" w:lastColumn="0" w:lastRow="0" w:noHBand="0" w:noVBand="1" w:val="04A0"/>
        <w:tblBorders>
          <w:top w:val="single" w:sz="5" w:color="000000"/>
          <w:left w:val="single" w:sz="5" w:color="000000"/>
          <w:bottom w:val="single" w:sz="5" w:color="000000"/>
          <w:right w:val="single" w:sz="5" w:color="000000"/>
          <w:insideH w:val="single" w:sz="5" w:color="000000"/>
          <w:insideV w:val="single" w:sz="5" w:color="000000"/>
        </w:tblBorders>
      </w:tblPr>
      <w:tblGrid>
        <w:gridCol w:w="3005"/>
        <w:gridCol w:w="3005"/>
        <w:gridCol w:w="3005"/>
      </w:tblGrid>
      <w:tr>
        <w:trPr>
          <w:cantSplit/>
          <w:tblHeader w:val="true"/>
        </w:trPr>
        <w:tc>
          <w:tcPr>
            <w:tcW w:type="dxa" w:w="3005"/>
            <w:vAlign w:val="center"/>
            <w:tcMar>
              <w:top w:w="80" w:type="dxa"/>
              <w:start w:w="96" w:type="dxa"/>
              <w:bottom w:w="80" w:type="dxa"/>
              <w:end w:w="96" w:type="dxa"/>
            </w:tcMar>
          </w:tcPr>
          <w:p>
            <w:pPr>
              <w:spacing w:line="360" w:lineRule="auto" w:before="0" w:after="0"/>
              <w:jc w:val="left"/>
            </w:pPr>
            <w:r>
              <w:rPr>
                <w:rFonts w:ascii="Arial" w:hAnsi="Arial"/>
                <w:b/>
                <w:color w:val="000000"/>
                <w:sz w:val="22"/>
              </w:rPr>
              <w:t>Disediakan oleh</w:t>
            </w:r>
          </w:p>
        </w:tc>
        <w:tc>
          <w:tcPr>
            <w:tcW w:type="dxa" w:w="3005"/>
            <w:vAlign w:val="center"/>
            <w:tcMar>
              <w:top w:w="80" w:type="dxa"/>
              <w:start w:w="96" w:type="dxa"/>
              <w:bottom w:w="80" w:type="dxa"/>
              <w:end w:w="96" w:type="dxa"/>
            </w:tcMar>
          </w:tcPr>
          <w:p>
            <w:pPr>
              <w:spacing w:line="360" w:lineRule="auto" w:before="0" w:after="0"/>
              <w:jc w:val="left"/>
            </w:pPr>
            <w:r>
              <w:rPr>
                <w:rFonts w:ascii="Arial" w:hAnsi="Arial"/>
                <w:b/>
                <w:color w:val="000000"/>
                <w:sz w:val="22"/>
              </w:rPr>
              <w:t>Disemak oleh</w:t>
            </w:r>
          </w:p>
        </w:tc>
        <w:tc>
          <w:tcPr>
            <w:tcW w:type="dxa" w:w="3005"/>
            <w:vAlign w:val="center"/>
            <w:tcMar>
              <w:top w:w="80" w:type="dxa"/>
              <w:start w:w="96" w:type="dxa"/>
              <w:bottom w:w="80" w:type="dxa"/>
              <w:end w:w="96" w:type="dxa"/>
            </w:tcMar>
          </w:tcPr>
          <w:p>
            <w:pPr>
              <w:spacing w:line="360" w:lineRule="auto" w:before="0" w:after="0"/>
              <w:jc w:val="left"/>
            </w:pPr>
            <w:r>
              <w:rPr>
                <w:rFonts w:ascii="Arial" w:hAnsi="Arial"/>
                <w:b/>
                <w:color w:val="000000"/>
                <w:sz w:val="22"/>
              </w:rPr>
              <w:t>Diluluskan oleh</w:t>
            </w:r>
          </w:p>
        </w:tc>
      </w:tr>
      <w:tr>
        <w:trPr>
          <w:cantSplit/>
        </w:trPr>
        <w:tc>
          <w:tcPr>
            <w:tcW w:type="dxa" w:w="3005"/>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w:t>
              <w:br/>
              <w:t>Nama/Jawatan:</w:t>
              <w:br/>
              <w:t>Tarikh:</w:t>
            </w:r>
          </w:p>
        </w:tc>
        <w:tc>
          <w:tcPr>
            <w:tcW w:type="dxa" w:w="3005"/>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w:t>
              <w:br/>
              <w:t>Nama/Jawatan:</w:t>
              <w:br/>
              <w:t>Tarikh:</w:t>
            </w:r>
          </w:p>
        </w:tc>
        <w:tc>
          <w:tcPr>
            <w:tcW w:type="dxa" w:w="3005"/>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w:t>
              <w:br/>
              <w:t>Nama/Jawatan:</w:t>
              <w:br/>
              <w:t>Tarikh:</w:t>
            </w:r>
          </w:p>
        </w:tc>
      </w:tr>
    </w:tbl>
    <w:p>
      <w:pPr>
        <w:spacing w:after="0"/>
      </w:pPr>
    </w:p>
    <w:p>
      <w:pPr>
        <w:jc w:val="both"/>
      </w:pPr>
      <w:r>
        <w:t>Ruangan tandatangan di atas sengaja dibiarkan kosong. Dokumen contoh ini tidak merupakan kelulusan rasmi.</w:t>
      </w:r>
    </w:p>
    <w:p>
      <w:pPr>
        <w:pStyle w:val="Heading1"/>
      </w:pPr>
      <w:r>
        <w:t>LAMPIRAN A — JADUAL ROTASI STESEN</w:t>
      </w:r>
    </w:p>
    <w:tbl>
      <w:tblPr>
        <w:tblW w:type="auto" w:w="0"/>
        <w:jc w:val="center"/>
        <w:tblLayout w:type="fixed"/>
        <w:tblLook w:firstColumn="1" w:firstRow="1" w:lastColumn="0" w:lastRow="0" w:noHBand="0" w:noVBand="1" w:val="04A0"/>
        <w:tblBorders>
          <w:top w:val="single" w:sz="5" w:color="000000"/>
          <w:left w:val="single" w:sz="5" w:color="000000"/>
          <w:bottom w:val="single" w:sz="5" w:color="000000"/>
          <w:right w:val="single" w:sz="5" w:color="000000"/>
          <w:insideH w:val="single" w:sz="5" w:color="000000"/>
          <w:insideV w:val="single" w:sz="5" w:color="000000"/>
        </w:tblBorders>
      </w:tblPr>
      <w:tblGrid>
        <w:gridCol w:w="2098"/>
        <w:gridCol w:w="1729"/>
        <w:gridCol w:w="1729"/>
        <w:gridCol w:w="1729"/>
        <w:gridCol w:w="1729"/>
      </w:tblGrid>
      <w:tr>
        <w:trPr>
          <w:cantSplit/>
          <w:tblHeader w:val="true"/>
        </w:trPr>
        <w:tc>
          <w:tcPr>
            <w:tcW w:type="dxa" w:w="2098"/>
            <w:vAlign w:val="center"/>
            <w:tcMar>
              <w:top w:w="80" w:type="dxa"/>
              <w:start w:w="96" w:type="dxa"/>
              <w:bottom w:w="80" w:type="dxa"/>
              <w:end w:w="96" w:type="dxa"/>
            </w:tcMar>
          </w:tcPr>
          <w:p>
            <w:pPr>
              <w:spacing w:line="360" w:lineRule="auto" w:before="0" w:after="0"/>
              <w:jc w:val="left"/>
            </w:pPr>
            <w:r>
              <w:rPr>
                <w:rFonts w:ascii="Arial" w:hAnsi="Arial"/>
                <w:b/>
                <w:color w:val="000000"/>
                <w:sz w:val="22"/>
              </w:rPr>
              <w:t>Masa</w:t>
            </w:r>
          </w:p>
        </w:tc>
        <w:tc>
          <w:tcPr>
            <w:tcW w:type="dxa" w:w="1729"/>
            <w:vAlign w:val="center"/>
            <w:tcMar>
              <w:top w:w="80" w:type="dxa"/>
              <w:start w:w="96" w:type="dxa"/>
              <w:bottom w:w="80" w:type="dxa"/>
              <w:end w:w="96" w:type="dxa"/>
            </w:tcMar>
          </w:tcPr>
          <w:p>
            <w:pPr>
              <w:spacing w:line="360" w:lineRule="auto" w:before="0" w:after="0"/>
              <w:jc w:val="left"/>
            </w:pPr>
            <w:r>
              <w:rPr>
                <w:rFonts w:ascii="Arial" w:hAnsi="Arial"/>
                <w:b/>
                <w:color w:val="000000"/>
                <w:sz w:val="22"/>
              </w:rPr>
              <w:t>Kumpulan A</w:t>
            </w:r>
          </w:p>
        </w:tc>
        <w:tc>
          <w:tcPr>
            <w:tcW w:type="dxa" w:w="1729"/>
            <w:vAlign w:val="center"/>
            <w:tcMar>
              <w:top w:w="80" w:type="dxa"/>
              <w:start w:w="96" w:type="dxa"/>
              <w:bottom w:w="80" w:type="dxa"/>
              <w:end w:w="96" w:type="dxa"/>
            </w:tcMar>
          </w:tcPr>
          <w:p>
            <w:pPr>
              <w:spacing w:line="360" w:lineRule="auto" w:before="0" w:after="0"/>
              <w:jc w:val="left"/>
            </w:pPr>
            <w:r>
              <w:rPr>
                <w:rFonts w:ascii="Arial" w:hAnsi="Arial"/>
                <w:b/>
                <w:color w:val="000000"/>
                <w:sz w:val="22"/>
              </w:rPr>
              <w:t>Kumpulan B</w:t>
            </w:r>
          </w:p>
        </w:tc>
        <w:tc>
          <w:tcPr>
            <w:tcW w:type="dxa" w:w="1729"/>
            <w:vAlign w:val="center"/>
            <w:tcMar>
              <w:top w:w="80" w:type="dxa"/>
              <w:start w:w="96" w:type="dxa"/>
              <w:bottom w:w="80" w:type="dxa"/>
              <w:end w:w="96" w:type="dxa"/>
            </w:tcMar>
          </w:tcPr>
          <w:p>
            <w:pPr>
              <w:spacing w:line="360" w:lineRule="auto" w:before="0" w:after="0"/>
              <w:jc w:val="left"/>
            </w:pPr>
            <w:r>
              <w:rPr>
                <w:rFonts w:ascii="Arial" w:hAnsi="Arial"/>
                <w:b/>
                <w:color w:val="000000"/>
                <w:sz w:val="22"/>
              </w:rPr>
              <w:t>Kumpulan C</w:t>
            </w:r>
          </w:p>
        </w:tc>
        <w:tc>
          <w:tcPr>
            <w:tcW w:type="dxa" w:w="1729"/>
            <w:vAlign w:val="center"/>
            <w:tcMar>
              <w:top w:w="80" w:type="dxa"/>
              <w:start w:w="96" w:type="dxa"/>
              <w:bottom w:w="80" w:type="dxa"/>
              <w:end w:w="96" w:type="dxa"/>
            </w:tcMar>
          </w:tcPr>
          <w:p>
            <w:pPr>
              <w:spacing w:line="360" w:lineRule="auto" w:before="0" w:after="0"/>
              <w:jc w:val="left"/>
            </w:pPr>
            <w:r>
              <w:rPr>
                <w:rFonts w:ascii="Arial" w:hAnsi="Arial"/>
                <w:b/>
                <w:color w:val="000000"/>
                <w:sz w:val="22"/>
              </w:rPr>
              <w:t>Kumpulan D</w:t>
            </w:r>
          </w:p>
        </w:tc>
      </w:tr>
      <w:tr>
        <w:trPr>
          <w:cantSplit/>
        </w:trPr>
        <w:tc>
          <w:tcPr>
            <w:tcW w:type="dxa" w:w="2098"/>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9.05–9.25 pagi</w:t>
            </w:r>
          </w:p>
        </w:tc>
        <w:tc>
          <w:tcPr>
            <w:tcW w:type="dxa" w:w="1729"/>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Stesen 1</w:t>
            </w:r>
          </w:p>
        </w:tc>
        <w:tc>
          <w:tcPr>
            <w:tcW w:type="dxa" w:w="1729"/>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Stesen 2</w:t>
            </w:r>
          </w:p>
        </w:tc>
        <w:tc>
          <w:tcPr>
            <w:tcW w:type="dxa" w:w="1729"/>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Stesen 3</w:t>
            </w:r>
          </w:p>
        </w:tc>
        <w:tc>
          <w:tcPr>
            <w:tcW w:type="dxa" w:w="1729"/>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Stesen 4</w:t>
            </w:r>
          </w:p>
        </w:tc>
      </w:tr>
      <w:tr>
        <w:trPr>
          <w:cantSplit/>
        </w:trPr>
        <w:tc>
          <w:tcPr>
            <w:tcW w:type="dxa" w:w="2098"/>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9.25–9.45 pagi</w:t>
            </w:r>
          </w:p>
        </w:tc>
        <w:tc>
          <w:tcPr>
            <w:tcW w:type="dxa" w:w="1729"/>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Stesen 2</w:t>
            </w:r>
          </w:p>
        </w:tc>
        <w:tc>
          <w:tcPr>
            <w:tcW w:type="dxa" w:w="1729"/>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Stesen 3</w:t>
            </w:r>
          </w:p>
        </w:tc>
        <w:tc>
          <w:tcPr>
            <w:tcW w:type="dxa" w:w="1729"/>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Stesen 4</w:t>
            </w:r>
          </w:p>
        </w:tc>
        <w:tc>
          <w:tcPr>
            <w:tcW w:type="dxa" w:w="1729"/>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Stesen 1</w:t>
            </w:r>
          </w:p>
        </w:tc>
      </w:tr>
      <w:tr>
        <w:trPr>
          <w:cantSplit/>
        </w:trPr>
        <w:tc>
          <w:tcPr>
            <w:tcW w:type="dxa" w:w="2098"/>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9.45–10.05 pagi</w:t>
            </w:r>
          </w:p>
        </w:tc>
        <w:tc>
          <w:tcPr>
            <w:tcW w:type="dxa" w:w="1729"/>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Stesen 3</w:t>
            </w:r>
          </w:p>
        </w:tc>
        <w:tc>
          <w:tcPr>
            <w:tcW w:type="dxa" w:w="1729"/>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Stesen 4</w:t>
            </w:r>
          </w:p>
        </w:tc>
        <w:tc>
          <w:tcPr>
            <w:tcW w:type="dxa" w:w="1729"/>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Stesen 1</w:t>
            </w:r>
          </w:p>
        </w:tc>
        <w:tc>
          <w:tcPr>
            <w:tcW w:type="dxa" w:w="1729"/>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Stesen 2</w:t>
            </w:r>
          </w:p>
        </w:tc>
      </w:tr>
      <w:tr>
        <w:trPr>
          <w:cantSplit/>
        </w:trPr>
        <w:tc>
          <w:tcPr>
            <w:tcW w:type="dxa" w:w="2098"/>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10.05–10.25 pagi</w:t>
            </w:r>
          </w:p>
        </w:tc>
        <w:tc>
          <w:tcPr>
            <w:tcW w:type="dxa" w:w="1729"/>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Stesen 4</w:t>
            </w:r>
          </w:p>
        </w:tc>
        <w:tc>
          <w:tcPr>
            <w:tcW w:type="dxa" w:w="1729"/>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Stesen 1</w:t>
            </w:r>
          </w:p>
        </w:tc>
        <w:tc>
          <w:tcPr>
            <w:tcW w:type="dxa" w:w="1729"/>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Stesen 2</w:t>
            </w:r>
          </w:p>
        </w:tc>
        <w:tc>
          <w:tcPr>
            <w:tcW w:type="dxa" w:w="1729"/>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Stesen 3</w:t>
            </w:r>
          </w:p>
        </w:tc>
      </w:tr>
    </w:tbl>
    <w:p>
      <w:pPr>
        <w:spacing w:after="0"/>
      </w:pPr>
    </w:p>
    <w:p>
      <w:pPr>
        <w:jc w:val="both"/>
      </w:pPr>
      <w:r>
        <w:t>Satu pusingan termasuk masa pergerakan antara stesen. Ketua kumpulan perlu memastikan peserta tahu lokasi seterusnya dan bahawa kanak-kanak bergerak bersama penjaga.</w:t>
      </w:r>
    </w:p>
    <w:p>
      <w:pPr>
        <w:pStyle w:val="Heading1"/>
        <w:pageBreakBefore/>
      </w:pPr>
      <w:r>
        <w:t>LAMPIRAN B — SENARAI SEMAK PELAKSANAAN</w:t>
      </w:r>
    </w:p>
    <w:tbl>
      <w:tblPr>
        <w:tblW w:type="auto" w:w="0"/>
        <w:jc w:val="center"/>
        <w:tblLayout w:type="fixed"/>
        <w:tblLook w:firstColumn="1" w:firstRow="1" w:lastColumn="0" w:lastRow="0" w:noHBand="0" w:noVBand="1" w:val="04A0"/>
        <w:tblBorders>
          <w:top w:val="single" w:sz="5" w:color="000000"/>
          <w:left w:val="single" w:sz="5" w:color="000000"/>
          <w:bottom w:val="single" w:sz="5" w:color="000000"/>
          <w:right w:val="single" w:sz="5" w:color="000000"/>
          <w:insideH w:val="single" w:sz="5" w:color="000000"/>
          <w:insideV w:val="single" w:sz="5" w:color="000000"/>
        </w:tblBorders>
      </w:tblPr>
      <w:tblGrid>
        <w:gridCol w:w="794"/>
        <w:gridCol w:w="7313"/>
        <w:gridCol w:w="907"/>
      </w:tblGrid>
      <w:tr>
        <w:trPr>
          <w:cantSplit/>
          <w:tblHeader w:val="true"/>
        </w:trPr>
        <w:tc>
          <w:tcPr>
            <w:tcW w:type="dxa" w:w="794"/>
            <w:vAlign w:val="center"/>
            <w:tcMar>
              <w:top w:w="80" w:type="dxa"/>
              <w:start w:w="96" w:type="dxa"/>
              <w:bottom w:w="80" w:type="dxa"/>
              <w:end w:w="96" w:type="dxa"/>
            </w:tcMar>
          </w:tcPr>
          <w:p>
            <w:pPr>
              <w:spacing w:line="360" w:lineRule="auto" w:before="0" w:after="0"/>
              <w:jc w:val="left"/>
            </w:pPr>
            <w:r>
              <w:rPr>
                <w:rFonts w:ascii="Arial" w:hAnsi="Arial"/>
                <w:b/>
                <w:color w:val="000000"/>
                <w:sz w:val="22"/>
              </w:rPr>
              <w:t>Bil.</w:t>
            </w:r>
          </w:p>
        </w:tc>
        <w:tc>
          <w:tcPr>
            <w:tcW w:type="dxa" w:w="7313"/>
            <w:vAlign w:val="center"/>
            <w:tcMar>
              <w:top w:w="80" w:type="dxa"/>
              <w:start w:w="96" w:type="dxa"/>
              <w:bottom w:w="80" w:type="dxa"/>
              <w:end w:w="96" w:type="dxa"/>
            </w:tcMar>
          </w:tcPr>
          <w:p>
            <w:pPr>
              <w:spacing w:line="360" w:lineRule="auto" w:before="0" w:after="0"/>
              <w:jc w:val="left"/>
            </w:pPr>
            <w:r>
              <w:rPr>
                <w:rFonts w:ascii="Arial" w:hAnsi="Arial"/>
                <w:b/>
                <w:color w:val="000000"/>
                <w:sz w:val="22"/>
              </w:rPr>
              <w:t>Perkara semakan</w:t>
            </w:r>
          </w:p>
        </w:tc>
        <w:tc>
          <w:tcPr>
            <w:tcW w:type="dxa" w:w="907"/>
            <w:vAlign w:val="center"/>
            <w:tcMar>
              <w:top w:w="80" w:type="dxa"/>
              <w:start w:w="96" w:type="dxa"/>
              <w:bottom w:w="80" w:type="dxa"/>
              <w:end w:w="96" w:type="dxa"/>
            </w:tcMar>
          </w:tcPr>
          <w:p>
            <w:pPr>
              <w:spacing w:line="360" w:lineRule="auto" w:before="0" w:after="0"/>
              <w:jc w:val="left"/>
            </w:pPr>
            <w:r>
              <w:rPr>
                <w:rFonts w:ascii="Arial" w:hAnsi="Arial"/>
                <w:b/>
                <w:color w:val="000000"/>
                <w:sz w:val="22"/>
              </w:rPr>
              <w:t>Status</w:t>
            </w:r>
          </w:p>
        </w:tc>
      </w:tr>
      <w:tr>
        <w:trPr>
          <w:cantSplit/>
        </w:trPr>
        <w:tc>
          <w:tcPr>
            <w:tcW w:type="dxa" w:w="794"/>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1</w:t>
            </w:r>
          </w:p>
        </w:tc>
        <w:tc>
          <w:tcPr>
            <w:tcW w:type="dxa" w:w="7313"/>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Kelulusan penganjur dan kebenaran penggunaan lokasi</w:t>
            </w:r>
          </w:p>
        </w:tc>
        <w:tc>
          <w:tcPr>
            <w:tcW w:type="dxa" w:w="907"/>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w:t>
            </w:r>
          </w:p>
        </w:tc>
      </w:tr>
      <w:tr>
        <w:trPr>
          <w:cantSplit/>
        </w:trPr>
        <w:tc>
          <w:tcPr>
            <w:tcW w:type="dxa" w:w="794"/>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2</w:t>
            </w:r>
          </w:p>
        </w:tc>
        <w:tc>
          <w:tcPr>
            <w:tcW w:type="dxa" w:w="7313"/>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Senarai peserta, penjaga dan petugas disahkan</w:t>
            </w:r>
          </w:p>
        </w:tc>
        <w:tc>
          <w:tcPr>
            <w:tcW w:type="dxa" w:w="907"/>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w:t>
            </w:r>
          </w:p>
        </w:tc>
      </w:tr>
      <w:tr>
        <w:trPr>
          <w:cantSplit/>
        </w:trPr>
        <w:tc>
          <w:tcPr>
            <w:tcW w:type="dxa" w:w="794"/>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3</w:t>
            </w:r>
          </w:p>
        </w:tc>
        <w:tc>
          <w:tcPr>
            <w:tcW w:type="dxa" w:w="7313"/>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Sebut harga, dana tersedia dan belian diluluskan</w:t>
            </w:r>
          </w:p>
        </w:tc>
        <w:tc>
          <w:tcPr>
            <w:tcW w:type="dxa" w:w="907"/>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w:t>
            </w:r>
          </w:p>
        </w:tc>
      </w:tr>
      <w:tr>
        <w:trPr>
          <w:cantSplit/>
        </w:trPr>
        <w:tc>
          <w:tcPr>
            <w:tcW w:type="dxa" w:w="794"/>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4</w:t>
            </w:r>
          </w:p>
        </w:tc>
        <w:tc>
          <w:tcPr>
            <w:tcW w:type="dxa" w:w="7313"/>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Tapak, peralatan dan laluan kecemasan diperiksa</w:t>
            </w:r>
          </w:p>
        </w:tc>
        <w:tc>
          <w:tcPr>
            <w:tcW w:type="dxa" w:w="907"/>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w:t>
            </w:r>
          </w:p>
        </w:tc>
      </w:tr>
      <w:tr>
        <w:trPr>
          <w:cantSplit/>
        </w:trPr>
        <w:tc>
          <w:tcPr>
            <w:tcW w:type="dxa" w:w="794"/>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5</w:t>
            </w:r>
          </w:p>
        </w:tc>
        <w:tc>
          <w:tcPr>
            <w:tcW w:type="dxa" w:w="7313"/>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Ramalan serta amaran cuaca disemak</w:t>
            </w:r>
          </w:p>
        </w:tc>
        <w:tc>
          <w:tcPr>
            <w:tcW w:type="dxa" w:w="907"/>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w:t>
            </w:r>
          </w:p>
        </w:tc>
      </w:tr>
      <w:tr>
        <w:trPr>
          <w:cantSplit/>
        </w:trPr>
        <w:tc>
          <w:tcPr>
            <w:tcW w:type="dxa" w:w="794"/>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6</w:t>
            </w:r>
          </w:p>
        </w:tc>
        <w:tc>
          <w:tcPr>
            <w:tcW w:type="dxa" w:w="7313"/>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Pembekal makanan dan alahan dimaklumkan jika perlu</w:t>
            </w:r>
          </w:p>
        </w:tc>
        <w:tc>
          <w:tcPr>
            <w:tcW w:type="dxa" w:w="907"/>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w:t>
            </w:r>
          </w:p>
        </w:tc>
      </w:tr>
      <w:tr>
        <w:trPr>
          <w:cantSplit/>
        </w:trPr>
        <w:tc>
          <w:tcPr>
            <w:tcW w:type="dxa" w:w="794"/>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7</w:t>
            </w:r>
          </w:p>
        </w:tc>
        <w:tc>
          <w:tcPr>
            <w:tcW w:type="dxa" w:w="7313"/>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Borang maklum balas dan rekod kehadiran disediakan</w:t>
            </w:r>
          </w:p>
        </w:tc>
        <w:tc>
          <w:tcPr>
            <w:tcW w:type="dxa" w:w="907"/>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w:t>
            </w:r>
          </w:p>
        </w:tc>
      </w:tr>
      <w:tr>
        <w:trPr>
          <w:cantSplit/>
        </w:trPr>
        <w:tc>
          <w:tcPr>
            <w:tcW w:type="dxa" w:w="794"/>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8</w:t>
            </w:r>
          </w:p>
        </w:tc>
        <w:tc>
          <w:tcPr>
            <w:tcW w:type="dxa" w:w="7313"/>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Semakan akhir stok, kawasan dan laporan selepas program</w:t>
            </w:r>
          </w:p>
        </w:tc>
        <w:tc>
          <w:tcPr>
            <w:tcW w:type="dxa" w:w="907"/>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w:t>
            </w:r>
          </w:p>
        </w:tc>
      </w:tr>
    </w:tbl>
    <w:p>
      <w:pPr>
        <w:spacing w:after="0"/>
      </w:pPr>
    </w:p>
    <w:p>
      <w:pPr>
        <w:pStyle w:val="Heading1"/>
      </w:pPr>
      <w:r>
        <w:t>LAMPIRAN C — REKOD PENILAIAN RINGKAS</w:t>
      </w:r>
    </w:p>
    <w:tbl>
      <w:tblPr>
        <w:tblW w:type="auto" w:w="0"/>
        <w:jc w:val="center"/>
        <w:tblLayout w:type="fixed"/>
        <w:tblLook w:firstColumn="1" w:firstRow="1" w:lastColumn="0" w:lastRow="0" w:noHBand="0" w:noVBand="1" w:val="04A0"/>
        <w:tblBorders>
          <w:top w:val="single" w:sz="5" w:color="000000"/>
          <w:left w:val="single" w:sz="5" w:color="000000"/>
          <w:bottom w:val="single" w:sz="5" w:color="000000"/>
          <w:right w:val="single" w:sz="5" w:color="000000"/>
          <w:insideH w:val="single" w:sz="5" w:color="000000"/>
          <w:insideV w:val="single" w:sz="5" w:color="000000"/>
        </w:tblBorders>
      </w:tblPr>
      <w:tblGrid>
        <w:gridCol w:w="4365"/>
        <w:gridCol w:w="4649"/>
      </w:tblGrid>
      <w:tr>
        <w:trPr>
          <w:cantSplit/>
          <w:tblHeader w:val="true"/>
        </w:trPr>
        <w:tc>
          <w:tcPr>
            <w:tcW w:type="dxa" w:w="4365"/>
            <w:vAlign w:val="center"/>
            <w:tcMar>
              <w:top w:w="80" w:type="dxa"/>
              <w:start w:w="96" w:type="dxa"/>
              <w:bottom w:w="80" w:type="dxa"/>
              <w:end w:w="96" w:type="dxa"/>
            </w:tcMar>
          </w:tcPr>
          <w:p>
            <w:pPr>
              <w:spacing w:line="360" w:lineRule="auto" w:before="0" w:after="0"/>
              <w:jc w:val="left"/>
            </w:pPr>
            <w:r>
              <w:rPr>
                <w:rFonts w:ascii="Arial" w:hAnsi="Arial"/>
                <w:b/>
                <w:color w:val="000000"/>
                <w:sz w:val="22"/>
              </w:rPr>
              <w:t>Perkara</w:t>
            </w:r>
          </w:p>
        </w:tc>
        <w:tc>
          <w:tcPr>
            <w:tcW w:type="dxa" w:w="4649"/>
            <w:vAlign w:val="center"/>
            <w:tcMar>
              <w:top w:w="80" w:type="dxa"/>
              <w:start w:w="96" w:type="dxa"/>
              <w:bottom w:w="80" w:type="dxa"/>
              <w:end w:w="96" w:type="dxa"/>
            </w:tcMar>
          </w:tcPr>
          <w:p>
            <w:pPr>
              <w:spacing w:line="360" w:lineRule="auto" w:before="0" w:after="0"/>
              <w:jc w:val="left"/>
            </w:pPr>
            <w:r>
              <w:rPr>
                <w:rFonts w:ascii="Arial" w:hAnsi="Arial"/>
                <w:b/>
                <w:color w:val="000000"/>
                <w:sz w:val="22"/>
              </w:rPr>
              <w:t>Catatan selepas program</w:t>
            </w:r>
          </w:p>
        </w:tc>
      </w:tr>
      <w:tr>
        <w:trPr>
          <w:cantSplit/>
        </w:trPr>
        <w:tc>
          <w:tcPr>
            <w:tcW w:type="dxa" w:w="4365"/>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Jumlah hadir</w:t>
            </w:r>
          </w:p>
        </w:tc>
        <w:tc>
          <w:tcPr>
            <w:tcW w:type="dxa" w:w="4649"/>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w:t>
            </w:r>
          </w:p>
        </w:tc>
      </w:tr>
      <w:tr>
        <w:trPr>
          <w:cantSplit/>
        </w:trPr>
        <w:tc>
          <w:tcPr>
            <w:tcW w:type="dxa" w:w="4365"/>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Jumlah keluarga yang mengambil bahagian</w:t>
            </w:r>
          </w:p>
        </w:tc>
        <w:tc>
          <w:tcPr>
            <w:tcW w:type="dxa" w:w="4649"/>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w:t>
            </w:r>
          </w:p>
        </w:tc>
      </w:tr>
      <w:tr>
        <w:trPr>
          <w:cantSplit/>
        </w:trPr>
        <w:tc>
          <w:tcPr>
            <w:tcW w:type="dxa" w:w="4365"/>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Stesen dan aktiviti yang dilaksanakan</w:t>
            </w:r>
          </w:p>
        </w:tc>
        <w:tc>
          <w:tcPr>
            <w:tcW w:type="dxa" w:w="4649"/>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w:t>
            </w:r>
          </w:p>
        </w:tc>
      </w:tr>
      <w:tr>
        <w:trPr>
          <w:cantSplit/>
        </w:trPr>
        <w:tc>
          <w:tcPr>
            <w:tcW w:type="dxa" w:w="4365"/>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Kos sebenar dan baki peruntukan</w:t>
            </w:r>
          </w:p>
        </w:tc>
        <w:tc>
          <w:tcPr>
            <w:tcW w:type="dxa" w:w="4649"/>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w:t>
            </w:r>
          </w:p>
        </w:tc>
      </w:tr>
      <w:tr>
        <w:trPr>
          <w:cantSplit/>
        </w:trPr>
        <w:tc>
          <w:tcPr>
            <w:tcW w:type="dxa" w:w="4365"/>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Isu keselamatan atau kebajikan (jika ada)</w:t>
            </w:r>
          </w:p>
        </w:tc>
        <w:tc>
          <w:tcPr>
            <w:tcW w:type="dxa" w:w="4649"/>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w:t>
            </w:r>
          </w:p>
        </w:tc>
      </w:tr>
      <w:tr>
        <w:trPr>
          <w:cantSplit/>
        </w:trPr>
        <w:tc>
          <w:tcPr>
            <w:tcW w:type="dxa" w:w="4365"/>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Cadangan program susulan</w:t>
            </w:r>
          </w:p>
        </w:tc>
        <w:tc>
          <w:tcPr>
            <w:tcW w:type="dxa" w:w="4649"/>
            <w:vAlign w:val="center"/>
            <w:tcMar>
              <w:top w:w="80" w:type="dxa"/>
              <w:start w:w="96" w:type="dxa"/>
              <w:bottom w:w="80" w:type="dxa"/>
              <w:end w:w="96" w:type="dxa"/>
            </w:tcMar>
          </w:tcPr>
          <w:p>
            <w:pPr>
              <w:spacing w:line="360" w:lineRule="auto" w:before="0" w:after="0"/>
              <w:jc w:val="left"/>
            </w:pPr>
            <w:r>
              <w:rPr>
                <w:rFonts w:ascii="Arial" w:hAnsi="Arial"/>
                <w:b w:val="0"/>
                <w:color w:val="000000"/>
                <w:sz w:val="22"/>
              </w:rPr>
              <w:t>............................................................</w:t>
            </w:r>
          </w:p>
        </w:tc>
      </w:tr>
    </w:tbl>
    <w:p>
      <w:pPr>
        <w:spacing w:after="0"/>
      </w:pPr>
    </w:p>
    <w:sectPr w:rsidR="00FC693F" w:rsidRPr="0006063C" w:rsidSect="00034616">
      <w:footerReference w:type="default" r:id="rId9"/>
      <w:pgSz w:w="11906" w:h="16838"/>
      <w:pgMar w:top="1440" w:right="1440" w:bottom="1440" w:left="1440" w:header="624"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00000"/>
        <w:sz w:val="22"/>
      </w:rPr>
      <w:t xml:space="preserve">KERTASKERJA.COM  |  DOKUMEN CONTOH  |  Halaman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multilevel"/>
    <w:lvl w:ilvl="0">
      <w:start w:val="1"/>
      <w:numFmt w:val="decimal"/>
      <w:lvlText w:val="%1.0"/>
      <w:lvlJc w:val="left"/>
      <w:suff w:val="tab"/>
      <w:pPr>
        <w:tabs>
          <w:tab w:val="num" w:pos="510"/>
        </w:tabs>
        <w:ind w:left="510" w:hanging="510"/>
      </w:pPr>
      <w:rPr>
        <w:rFonts w:ascii="Arial" w:hAnsi="Arial" w:eastAsia="Arial" w:cs="Arial"/>
        <w:b/>
        <w:color w:val="000000"/>
      </w:rPr>
    </w:lvl>
    <w:lvl w:ilvl="1">
      <w:start w:val="1"/>
      <w:numFmt w:val="decimal"/>
      <w:lvlText w:val="%1.%2"/>
      <w:lvlJc w:val="left"/>
      <w:suff w:val="tab"/>
      <w:pPr>
        <w:tabs>
          <w:tab w:val="num" w:pos="765"/>
        </w:tabs>
        <w:ind w:left="765" w:hanging="765"/>
      </w:pPr>
      <w:rPr>
        <w:rFonts w:ascii="Arial" w:hAnsi="Arial" w:eastAsia="Arial" w:cs="Arial"/>
        <w:b/>
        <w:color w:val="000000"/>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60" w:lineRule="auto" w:after="120"/>
    </w:pPr>
    <w:rPr>
      <w:rFonts w:ascii="Arial" w:hAnsi="Arial" w:eastAsia="Arial" w:cs="Arial"/>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eastAsia="Arial" w:cs="Arial"/>
      <w:b w:val="0"/>
      <w:color w:val="000000"/>
      <w:sz w:val="22"/>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eastAsia="Arial" w:cs="Arial"/>
      <w:b w:val="0"/>
      <w:color w:val="000000"/>
      <w:sz w:val="22"/>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20" w:after="100" w:line="360" w:lineRule="auto"/>
      <w:outlineLvl w:val="0"/>
    </w:pPr>
    <w:rPr>
      <w:rFonts w:asciiTheme="majorHAnsi" w:eastAsiaTheme="majorEastAsia" w:hAnsiTheme="majorHAnsi" w:cstheme="majorBidi" w:ascii="Arial" w:hAnsi="Arial" w:eastAsia="Arial" w:cs="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140" w:after="80" w:line="360" w:lineRule="auto"/>
      <w:outlineLvl w:val="1"/>
    </w:pPr>
    <w:rPr>
      <w:rFonts w:asciiTheme="majorHAnsi" w:eastAsiaTheme="majorEastAsia" w:hAnsiTheme="majorHAnsi" w:cstheme="majorBidi" w:ascii="Arial" w:hAnsi="Arial" w:eastAsia="Arial" w:cs="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s="Arial"/>
      <w:b/>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cs="Arial"/>
      <w:b w:val="0"/>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Kertas Kerja Program Hari Keluarga Komuniti — Contoh Lengkap</dc:title>
  <dc:subject>Contoh kertas kerja komuniti dan NGO</dc:subject>
  <dc:creator>Kertaskerja.com</dc:creator>
  <cp:keywords/>
  <dc:description>Contoh rekaan untuk disesuaikan; bukan kelulusan rasmi.</dc:description>
  <cp:lastModifiedBy/>
  <cp:revision>1</cp:revision>
  <dcterms:created xsi:type="dcterms:W3CDTF">2013-12-23T23:15:00Z</dcterms:created>
  <dcterms:modified xsi:type="dcterms:W3CDTF">2013-12-23T23:15:00Z</dcterms:modified>
  <cp:category/>
</cp:coreProperties>
</file>